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textAlignment w:val="baseline"/>
        <w:rPr>
          <w:rFonts w:ascii="宋体" w:hAnsi="宋体" w:cs="宋体"/>
          <w:color w:val="000000"/>
          <w:w w:val="80"/>
          <w:sz w:val="24"/>
          <w:szCs w:val="24"/>
        </w:rPr>
      </w:pPr>
    </w:p>
    <w:p>
      <w:pPr>
        <w:tabs>
          <w:tab w:val="left" w:pos="6300"/>
        </w:tabs>
        <w:snapToGrid w:val="0"/>
        <w:spacing w:line="300" w:lineRule="auto"/>
        <w:jc w:val="center"/>
        <w:textAlignment w:val="baseline"/>
        <w:rPr>
          <w:rFonts w:ascii="宋体" w:hAnsi="宋体" w:cs="宋体"/>
          <w:b/>
          <w:w w:val="80"/>
          <w:sz w:val="24"/>
          <w:szCs w:val="24"/>
        </w:rPr>
      </w:pPr>
    </w:p>
    <w:p>
      <w:pPr>
        <w:pStyle w:val="19"/>
        <w:snapToGrid w:val="0"/>
        <w:textAlignment w:val="baseline"/>
      </w:pPr>
    </w:p>
    <w:p>
      <w:pPr>
        <w:tabs>
          <w:tab w:val="left" w:pos="6300"/>
        </w:tabs>
        <w:snapToGrid w:val="0"/>
        <w:spacing w:line="300" w:lineRule="auto"/>
        <w:jc w:val="center"/>
        <w:textAlignment w:val="baseline"/>
        <w:rPr>
          <w:rFonts w:ascii="宋体" w:hAnsi="宋体" w:cs="微软雅黑"/>
          <w:b/>
          <w:bCs/>
          <w:sz w:val="44"/>
          <w:szCs w:val="44"/>
        </w:rPr>
      </w:pPr>
      <w:r>
        <w:rPr>
          <w:rFonts w:hint="eastAsia" w:ascii="宋体" w:hAnsi="宋体" w:cs="微软雅黑"/>
          <w:b/>
          <w:bCs/>
          <w:sz w:val="44"/>
          <w:szCs w:val="44"/>
        </w:rPr>
        <w:t>南通市公安局崇川分局陈桥派出所</w:t>
      </w:r>
    </w:p>
    <w:p>
      <w:pPr>
        <w:tabs>
          <w:tab w:val="left" w:pos="6300"/>
        </w:tabs>
        <w:snapToGrid w:val="0"/>
        <w:spacing w:line="300" w:lineRule="auto"/>
        <w:jc w:val="center"/>
        <w:textAlignment w:val="baseline"/>
        <w:rPr>
          <w:b/>
          <w:sz w:val="36"/>
          <w:szCs w:val="36"/>
        </w:rPr>
      </w:pPr>
      <w:r>
        <w:rPr>
          <w:rFonts w:hint="eastAsia" w:ascii="宋体" w:hAnsi="宋体" w:cs="微软雅黑"/>
          <w:b/>
          <w:bCs/>
          <w:sz w:val="44"/>
          <w:szCs w:val="44"/>
        </w:rPr>
        <w:t>智能枪弹柜、智能单警装备柜采购项目</w:t>
      </w:r>
    </w:p>
    <w:p>
      <w:pPr>
        <w:tabs>
          <w:tab w:val="left" w:pos="6300"/>
        </w:tabs>
        <w:snapToGrid w:val="0"/>
        <w:spacing w:line="300" w:lineRule="auto"/>
        <w:jc w:val="center"/>
        <w:textAlignment w:val="baseline"/>
        <w:rPr>
          <w:rFonts w:ascii="宋体" w:hAnsi="宋体" w:cs="宋体"/>
          <w:b/>
          <w:color w:val="000000"/>
          <w:w w:val="80"/>
          <w:sz w:val="44"/>
          <w:szCs w:val="44"/>
        </w:rPr>
      </w:pPr>
    </w:p>
    <w:p>
      <w:pPr>
        <w:pStyle w:val="2"/>
        <w:snapToGrid w:val="0"/>
        <w:ind w:firstLine="712"/>
        <w:textAlignment w:val="baseline"/>
        <w:rPr>
          <w:rFonts w:ascii="宋体" w:hAnsi="宋体" w:cs="宋体"/>
          <w:b/>
          <w:color w:val="000000"/>
          <w:w w:val="80"/>
          <w:sz w:val="44"/>
          <w:szCs w:val="44"/>
        </w:rPr>
      </w:pPr>
    </w:p>
    <w:p>
      <w:pPr>
        <w:pStyle w:val="2"/>
        <w:snapToGrid w:val="0"/>
        <w:ind w:firstLine="712"/>
        <w:textAlignment w:val="baseline"/>
        <w:rPr>
          <w:rFonts w:ascii="宋体" w:hAnsi="宋体" w:cs="宋体"/>
          <w:b/>
          <w:color w:val="000000"/>
          <w:w w:val="80"/>
          <w:sz w:val="44"/>
          <w:szCs w:val="44"/>
        </w:rPr>
      </w:pPr>
    </w:p>
    <w:p>
      <w:pPr>
        <w:pStyle w:val="2"/>
        <w:snapToGrid w:val="0"/>
        <w:ind w:firstLine="712"/>
        <w:textAlignment w:val="baseline"/>
        <w:rPr>
          <w:rFonts w:ascii="宋体" w:hAnsi="宋体" w:cs="宋体"/>
          <w:b/>
          <w:color w:val="000000"/>
          <w:w w:val="80"/>
          <w:sz w:val="44"/>
          <w:szCs w:val="44"/>
        </w:rPr>
      </w:pPr>
    </w:p>
    <w:p>
      <w:pPr>
        <w:tabs>
          <w:tab w:val="left" w:pos="6300"/>
        </w:tabs>
        <w:snapToGrid w:val="0"/>
        <w:spacing w:line="300" w:lineRule="auto"/>
        <w:jc w:val="center"/>
        <w:textAlignment w:val="baseline"/>
        <w:rPr>
          <w:rFonts w:ascii="宋体" w:hAnsi="宋体" w:cs="宋体"/>
          <w:b/>
          <w:w w:val="80"/>
          <w:sz w:val="96"/>
          <w:szCs w:val="96"/>
        </w:rPr>
      </w:pPr>
      <w:r>
        <w:rPr>
          <w:rFonts w:hint="eastAsia" w:cs="宋体"/>
          <w:color w:val="000000"/>
          <w:w w:val="80"/>
          <w:sz w:val="72"/>
          <w:szCs w:val="72"/>
        </w:rPr>
        <w:t>政府采购竞争性磋商文件</w:t>
      </w:r>
    </w:p>
    <w:p>
      <w:pPr>
        <w:snapToGrid w:val="0"/>
        <w:jc w:val="center"/>
        <w:textAlignment w:val="baseline"/>
        <w:rPr>
          <w:rFonts w:ascii="宋体" w:hAnsi="宋体" w:cs="宋体"/>
          <w:b/>
          <w:color w:val="000000"/>
          <w:sz w:val="24"/>
          <w:szCs w:val="24"/>
        </w:rPr>
      </w:pPr>
    </w:p>
    <w:p>
      <w:pPr>
        <w:snapToGrid w:val="0"/>
        <w:spacing w:line="640" w:lineRule="exact"/>
        <w:jc w:val="center"/>
        <w:textAlignment w:val="baseline"/>
        <w:rPr>
          <w:rFonts w:hint="default" w:ascii="宋体" w:eastAsia="宋体"/>
          <w:b/>
          <w:bCs/>
          <w:sz w:val="24"/>
          <w:szCs w:val="24"/>
          <w:lang w:val="en-US" w:eastAsia="zh-CN"/>
        </w:rPr>
      </w:pPr>
      <w:r>
        <w:rPr>
          <w:rFonts w:hint="eastAsia" w:ascii="宋体" w:hAnsi="宋体" w:cs="宋体"/>
          <w:b/>
          <w:sz w:val="36"/>
          <w:szCs w:val="36"/>
        </w:rPr>
        <w:t>项目编号：</w:t>
      </w:r>
      <w:r>
        <w:rPr>
          <w:rFonts w:hint="eastAsia" w:ascii="宋体" w:hAnsi="宋体" w:cs="宋体"/>
          <w:b/>
          <w:sz w:val="36"/>
          <w:szCs w:val="36"/>
          <w:lang w:val="en-US" w:eastAsia="zh-CN"/>
        </w:rPr>
        <w:t>WLDL202111107</w:t>
      </w:r>
    </w:p>
    <w:p>
      <w:pPr>
        <w:snapToGrid w:val="0"/>
        <w:spacing w:line="640" w:lineRule="exact"/>
        <w:jc w:val="center"/>
        <w:textAlignment w:val="baseline"/>
        <w:rPr>
          <w:rFonts w:ascii="宋体" w:hAnsi="宋体" w:cs="宋体"/>
          <w:b/>
          <w:sz w:val="24"/>
          <w:szCs w:val="24"/>
        </w:rPr>
      </w:pPr>
    </w:p>
    <w:p>
      <w:pPr>
        <w:pStyle w:val="2"/>
        <w:snapToGrid w:val="0"/>
        <w:ind w:firstLine="422"/>
        <w:textAlignment w:val="baseline"/>
        <w:rPr>
          <w:rFonts w:ascii="宋体" w:hAnsi="宋体" w:cs="宋体"/>
          <w:b/>
          <w:color w:val="000000"/>
          <w:sz w:val="21"/>
          <w:szCs w:val="24"/>
        </w:rPr>
      </w:pPr>
    </w:p>
    <w:p>
      <w:pPr>
        <w:pStyle w:val="2"/>
        <w:snapToGrid w:val="0"/>
        <w:ind w:firstLine="422"/>
        <w:textAlignment w:val="baseline"/>
        <w:rPr>
          <w:rFonts w:ascii="宋体" w:hAnsi="宋体" w:cs="宋体"/>
          <w:b/>
          <w:color w:val="000000"/>
          <w:sz w:val="21"/>
          <w:szCs w:val="24"/>
        </w:rPr>
      </w:pPr>
    </w:p>
    <w:p>
      <w:pPr>
        <w:pStyle w:val="2"/>
        <w:snapToGrid w:val="0"/>
        <w:ind w:firstLine="0" w:firstLineChars="0"/>
        <w:textAlignment w:val="baseline"/>
        <w:rPr>
          <w:rFonts w:ascii="宋体" w:hAnsi="宋体" w:cs="宋体"/>
          <w:b/>
          <w:color w:val="000000"/>
          <w:sz w:val="21"/>
          <w:szCs w:val="24"/>
        </w:rPr>
      </w:pPr>
    </w:p>
    <w:p>
      <w:pPr>
        <w:pStyle w:val="2"/>
        <w:snapToGrid w:val="0"/>
        <w:ind w:firstLine="422"/>
        <w:textAlignment w:val="baseline"/>
        <w:rPr>
          <w:rFonts w:ascii="宋体" w:hAnsi="宋体" w:cs="宋体"/>
          <w:b/>
          <w:color w:val="000000"/>
          <w:sz w:val="21"/>
          <w:szCs w:val="24"/>
        </w:rPr>
      </w:pPr>
    </w:p>
    <w:p>
      <w:pPr>
        <w:pStyle w:val="2"/>
        <w:snapToGrid w:val="0"/>
        <w:ind w:firstLine="422"/>
        <w:textAlignment w:val="baseline"/>
        <w:rPr>
          <w:rFonts w:ascii="宋体" w:hAnsi="宋体" w:cs="宋体"/>
          <w:b/>
          <w:color w:val="000000"/>
          <w:sz w:val="21"/>
          <w:szCs w:val="24"/>
        </w:rPr>
      </w:pPr>
    </w:p>
    <w:p>
      <w:pPr>
        <w:snapToGrid w:val="0"/>
        <w:spacing w:line="360" w:lineRule="auto"/>
        <w:jc w:val="left"/>
        <w:textAlignment w:val="baseline"/>
        <w:rPr>
          <w:rFonts w:ascii="宋体" w:hAnsi="宋体" w:cs="宋体"/>
          <w:b/>
          <w:sz w:val="30"/>
          <w:szCs w:val="30"/>
        </w:rPr>
      </w:pPr>
      <w:bookmarkStart w:id="0" w:name="_Toc94544827"/>
      <w:bookmarkStart w:id="1" w:name="_Toc94585339"/>
      <w:bookmarkStart w:id="2" w:name="_Toc8895738"/>
      <w:bookmarkStart w:id="3" w:name="_Toc521201596"/>
      <w:bookmarkStart w:id="4" w:name="_Toc12670502"/>
      <w:bookmarkStart w:id="5" w:name="_Toc521203417"/>
      <w:bookmarkStart w:id="6" w:name="_Toc11500279"/>
      <w:bookmarkStart w:id="7" w:name="_Toc11499583"/>
      <w:bookmarkStart w:id="8" w:name="_Toc94544743"/>
      <w:bookmarkStart w:id="9" w:name="_Toc11554638"/>
    </w:p>
    <w:p>
      <w:pPr>
        <w:pStyle w:val="19"/>
        <w:snapToGrid w:val="0"/>
        <w:textAlignment w:val="baseline"/>
      </w:pPr>
    </w:p>
    <w:p>
      <w:pPr>
        <w:snapToGrid w:val="0"/>
        <w:spacing w:line="360" w:lineRule="auto"/>
        <w:jc w:val="left"/>
        <w:textAlignment w:val="baseline"/>
        <w:rPr>
          <w:rFonts w:ascii="宋体" w:hAnsi="宋体" w:cs="宋体"/>
          <w:b/>
          <w:sz w:val="30"/>
          <w:szCs w:val="30"/>
        </w:rPr>
      </w:pPr>
    </w:p>
    <w:p>
      <w:pPr>
        <w:snapToGrid w:val="0"/>
        <w:spacing w:line="360" w:lineRule="auto"/>
        <w:ind w:firstLine="1807" w:firstLineChars="600"/>
        <w:textAlignment w:val="baseline"/>
        <w:rPr>
          <w:rFonts w:ascii="宋体" w:hAnsi="宋体" w:cs="宋体"/>
          <w:b/>
          <w:sz w:val="30"/>
          <w:szCs w:val="30"/>
        </w:rPr>
      </w:pPr>
      <w:r>
        <w:rPr>
          <w:rFonts w:hint="eastAsia" w:ascii="宋体" w:hAnsi="宋体" w:cs="宋体"/>
          <w:b/>
          <w:sz w:val="30"/>
          <w:szCs w:val="30"/>
        </w:rPr>
        <w:t>采 购 人：南通市公安局崇川分局</w:t>
      </w:r>
    </w:p>
    <w:p>
      <w:pPr>
        <w:snapToGrid w:val="0"/>
        <w:spacing w:line="360" w:lineRule="auto"/>
        <w:ind w:firstLine="1807" w:firstLineChars="600"/>
        <w:textAlignment w:val="baseline"/>
        <w:rPr>
          <w:rFonts w:ascii="宋体" w:hAnsi="宋体" w:cs="宋体"/>
          <w:b/>
          <w:sz w:val="30"/>
          <w:szCs w:val="30"/>
        </w:rPr>
      </w:pPr>
      <w:r>
        <w:rPr>
          <w:rFonts w:hint="eastAsia" w:ascii="宋体" w:hAnsi="宋体" w:cs="宋体"/>
          <w:b/>
          <w:sz w:val="30"/>
          <w:szCs w:val="30"/>
        </w:rPr>
        <w:t>代理机构：南通万隆工程管理有限公司</w:t>
      </w:r>
    </w:p>
    <w:p>
      <w:pPr>
        <w:snapToGrid w:val="0"/>
        <w:spacing w:line="360" w:lineRule="auto"/>
        <w:jc w:val="center"/>
        <w:textAlignment w:val="baseline"/>
        <w:rPr>
          <w:rFonts w:ascii="宋体" w:hAnsi="宋体" w:cs="宋体"/>
          <w:b/>
          <w:sz w:val="30"/>
          <w:szCs w:val="30"/>
        </w:rPr>
      </w:pPr>
      <w:r>
        <w:rPr>
          <w:rFonts w:hint="eastAsia" w:ascii="宋体" w:hAnsi="宋体" w:cs="宋体"/>
          <w:b/>
          <w:sz w:val="30"/>
          <w:szCs w:val="30"/>
        </w:rPr>
        <w:t>二〇二一年十</w:t>
      </w:r>
      <w:r>
        <w:rPr>
          <w:rFonts w:hint="eastAsia" w:ascii="宋体" w:hAnsi="宋体" w:cs="宋体"/>
          <w:b/>
          <w:sz w:val="30"/>
          <w:szCs w:val="30"/>
          <w:lang w:val="en-US" w:eastAsia="zh-CN"/>
        </w:rPr>
        <w:t>一</w:t>
      </w:r>
      <w:r>
        <w:rPr>
          <w:rFonts w:hint="eastAsia" w:ascii="宋体" w:hAnsi="宋体" w:cs="宋体"/>
          <w:b/>
          <w:sz w:val="30"/>
          <w:szCs w:val="30"/>
        </w:rPr>
        <w:t>月</w:t>
      </w:r>
    </w:p>
    <w:p>
      <w:pPr>
        <w:snapToGrid w:val="0"/>
        <w:spacing w:line="360" w:lineRule="auto"/>
        <w:jc w:val="center"/>
        <w:textAlignment w:val="baseline"/>
        <w:rPr>
          <w:rFonts w:ascii="宋体" w:hAnsi="宋体" w:cs="宋体"/>
          <w:b/>
          <w:sz w:val="30"/>
          <w:szCs w:val="3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361" w:right="1417" w:bottom="1361" w:left="1417" w:header="851" w:footer="992" w:gutter="0"/>
          <w:pgNumType w:fmt="numberInDash" w:start="1"/>
          <w:cols w:space="0" w:num="1"/>
          <w:titlePg/>
          <w:rtlGutter w:val="0"/>
          <w:docGrid w:linePitch="380" w:charSpace="-5735"/>
        </w:sectPr>
      </w:pPr>
    </w:p>
    <w:p>
      <w:pPr>
        <w:snapToGrid w:val="0"/>
        <w:jc w:val="center"/>
        <w:textAlignment w:val="baseline"/>
        <w:rPr>
          <w:rFonts w:ascii="宋体" w:hAnsi="宋体" w:cs="宋体"/>
          <w:b/>
          <w:sz w:val="44"/>
          <w:szCs w:val="44"/>
        </w:rPr>
      </w:pPr>
    </w:p>
    <w:p>
      <w:pPr>
        <w:snapToGrid w:val="0"/>
        <w:jc w:val="center"/>
        <w:textAlignment w:val="baseline"/>
        <w:rPr>
          <w:rFonts w:ascii="宋体" w:hAnsi="宋体" w:cs="宋体"/>
          <w:b/>
          <w:sz w:val="44"/>
          <w:szCs w:val="44"/>
        </w:rPr>
      </w:pPr>
      <w:r>
        <w:rPr>
          <w:rFonts w:hint="eastAsia" w:ascii="宋体" w:hAnsi="宋体" w:cs="宋体"/>
          <w:b/>
          <w:sz w:val="44"/>
          <w:szCs w:val="44"/>
        </w:rPr>
        <w:t>竞争性磋商文件备案表</w:t>
      </w:r>
    </w:p>
    <w:p>
      <w:pPr>
        <w:pStyle w:val="2"/>
        <w:snapToGrid w:val="0"/>
        <w:textAlignment w:val="baseline"/>
        <w:rPr>
          <w:sz w:val="21"/>
        </w:rPr>
      </w:pPr>
    </w:p>
    <w:p>
      <w:pPr>
        <w:snapToGrid w:val="0"/>
        <w:jc w:val="center"/>
        <w:textAlignment w:val="baseline"/>
        <w:rPr>
          <w:rFonts w:ascii="宋体" w:hAnsi="宋体" w:cs="宋体"/>
          <w:b/>
          <w:sz w:val="24"/>
          <w:szCs w:val="24"/>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5" w:hRule="atLeast"/>
          <w:jc w:val="center"/>
        </w:trPr>
        <w:tc>
          <w:tcPr>
            <w:tcW w:w="9180" w:type="dxa"/>
            <w:vAlign w:val="center"/>
          </w:tcPr>
          <w:p>
            <w:pPr>
              <w:snapToGrid w:val="0"/>
              <w:spacing w:line="360" w:lineRule="auto"/>
              <w:ind w:firstLine="4560" w:firstLineChars="1900"/>
              <w:textAlignment w:val="baseline"/>
              <w:rPr>
                <w:rFonts w:ascii="宋体" w:hAnsi="宋体" w:cs="宋体"/>
                <w:position w:val="-48"/>
                <w:sz w:val="24"/>
                <w:szCs w:val="24"/>
              </w:rPr>
            </w:pPr>
          </w:p>
          <w:p>
            <w:pPr>
              <w:snapToGrid w:val="0"/>
              <w:spacing w:line="360" w:lineRule="auto"/>
              <w:ind w:firstLine="4560" w:firstLineChars="1900"/>
              <w:textAlignment w:val="baseline"/>
              <w:rPr>
                <w:rFonts w:hint="eastAsia" w:ascii="宋体" w:hAnsi="宋体" w:eastAsia="宋体" w:cs="宋体"/>
                <w:position w:val="-48"/>
                <w:sz w:val="24"/>
                <w:szCs w:val="24"/>
                <w:lang w:val="en-US" w:eastAsia="zh-CN"/>
              </w:rPr>
            </w:pPr>
            <w:r>
              <w:rPr>
                <w:rFonts w:hint="eastAsia" w:ascii="宋体" w:hAnsi="宋体" w:cs="宋体"/>
                <w:position w:val="-48"/>
                <w:sz w:val="24"/>
                <w:szCs w:val="24"/>
              </w:rPr>
              <w:t>编制人：</w:t>
            </w:r>
            <w:r>
              <w:rPr>
                <w:rFonts w:hint="eastAsia" w:ascii="宋体" w:hAnsi="宋体" w:cs="宋体"/>
                <w:position w:val="-48"/>
                <w:sz w:val="24"/>
                <w:szCs w:val="24"/>
                <w:lang w:val="en-US" w:eastAsia="zh-CN"/>
              </w:rPr>
              <w:t>杜女士</w:t>
            </w:r>
          </w:p>
          <w:p>
            <w:pPr>
              <w:snapToGrid w:val="0"/>
              <w:spacing w:line="360" w:lineRule="auto"/>
              <w:ind w:firstLine="4560" w:firstLineChars="1900"/>
              <w:textAlignment w:val="baseline"/>
              <w:rPr>
                <w:rFonts w:ascii="宋体" w:hAnsi="宋体" w:cs="宋体"/>
                <w:position w:val="-48"/>
                <w:sz w:val="24"/>
                <w:szCs w:val="24"/>
              </w:rPr>
            </w:pPr>
            <w:r>
              <w:rPr>
                <w:rFonts w:hint="eastAsia" w:ascii="宋体" w:hAnsi="宋体" w:cs="宋体"/>
                <w:position w:val="-48"/>
                <w:sz w:val="24"/>
                <w:szCs w:val="24"/>
              </w:rPr>
              <w:t>日  期：2021年</w:t>
            </w:r>
            <w:r>
              <w:rPr>
                <w:rFonts w:hint="eastAsia" w:ascii="宋体" w:hAnsi="宋体" w:cs="宋体"/>
                <w:position w:val="-48"/>
                <w:sz w:val="24"/>
                <w:szCs w:val="24"/>
                <w:lang w:val="en-US" w:eastAsia="zh-CN"/>
              </w:rPr>
              <w:t>11</w:t>
            </w:r>
            <w:r>
              <w:rPr>
                <w:rFonts w:hint="eastAsia" w:ascii="宋体" w:hAnsi="宋体" w:cs="宋体"/>
                <w:position w:val="-48"/>
                <w:sz w:val="24"/>
                <w:szCs w:val="24"/>
              </w:rPr>
              <w:t>月</w:t>
            </w:r>
            <w:r>
              <w:rPr>
                <w:rFonts w:hint="eastAsia" w:ascii="宋体" w:hAnsi="宋体" w:cs="宋体"/>
                <w:position w:val="-48"/>
                <w:sz w:val="24"/>
                <w:szCs w:val="24"/>
                <w:lang w:val="en-US" w:eastAsia="zh-CN"/>
              </w:rPr>
              <w:t>1</w:t>
            </w:r>
            <w:r>
              <w:rPr>
                <w:rFonts w:hint="eastAsia" w:ascii="宋体" w:hAnsi="宋体" w:cs="宋体"/>
                <w:position w:val="-48"/>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0" w:hRule="atLeast"/>
          <w:jc w:val="center"/>
        </w:trPr>
        <w:tc>
          <w:tcPr>
            <w:tcW w:w="9180" w:type="dxa"/>
          </w:tcPr>
          <w:p>
            <w:pPr>
              <w:snapToGrid w:val="0"/>
              <w:spacing w:line="360" w:lineRule="auto"/>
              <w:textAlignment w:val="baseline"/>
              <w:rPr>
                <w:rFonts w:ascii="宋体" w:hAnsi="宋体" w:cs="宋体"/>
                <w:position w:val="-48"/>
                <w:sz w:val="24"/>
                <w:szCs w:val="24"/>
              </w:rPr>
            </w:pPr>
          </w:p>
          <w:p>
            <w:pPr>
              <w:pStyle w:val="19"/>
              <w:snapToGrid w:val="0"/>
              <w:textAlignment w:val="baseline"/>
              <w:rPr>
                <w:szCs w:val="22"/>
              </w:rPr>
            </w:pPr>
          </w:p>
          <w:p>
            <w:pPr>
              <w:pStyle w:val="19"/>
              <w:snapToGrid w:val="0"/>
              <w:textAlignment w:val="baseline"/>
              <w:rPr>
                <w:szCs w:val="22"/>
              </w:rPr>
            </w:pPr>
          </w:p>
          <w:p>
            <w:pPr>
              <w:snapToGrid w:val="0"/>
              <w:spacing w:line="360" w:lineRule="auto"/>
              <w:ind w:firstLine="600" w:firstLineChars="250"/>
              <w:jc w:val="center"/>
              <w:textAlignment w:val="baseline"/>
              <w:rPr>
                <w:rFonts w:ascii="宋体" w:hAnsi="宋体" w:cs="宋体"/>
                <w:position w:val="-48"/>
                <w:sz w:val="24"/>
                <w:szCs w:val="24"/>
              </w:rPr>
            </w:pPr>
            <w:r>
              <w:rPr>
                <w:rFonts w:hint="eastAsia" w:ascii="宋体" w:hAnsi="宋体" w:cs="宋体"/>
                <w:position w:val="-48"/>
                <w:sz w:val="24"/>
                <w:szCs w:val="24"/>
              </w:rPr>
              <w:t>采购人（盖章）             法定代表人（签字或盖章）</w:t>
            </w:r>
          </w:p>
          <w:p>
            <w:pPr>
              <w:snapToGrid w:val="0"/>
              <w:spacing w:line="360" w:lineRule="auto"/>
              <w:textAlignment w:val="baseline"/>
              <w:rPr>
                <w:rFonts w:ascii="宋体" w:hAnsi="宋体" w:cs="宋体"/>
                <w:position w:val="-48"/>
                <w:sz w:val="24"/>
                <w:szCs w:val="24"/>
              </w:rPr>
            </w:pPr>
          </w:p>
          <w:p>
            <w:pPr>
              <w:snapToGrid w:val="0"/>
              <w:spacing w:line="360" w:lineRule="auto"/>
              <w:jc w:val="center"/>
              <w:textAlignment w:val="baseline"/>
              <w:rPr>
                <w:rFonts w:ascii="宋体" w:hAnsi="宋体" w:cs="宋体"/>
                <w:position w:val="-48"/>
                <w:sz w:val="24"/>
                <w:szCs w:val="24"/>
              </w:rPr>
            </w:pPr>
            <w:r>
              <w:rPr>
                <w:rFonts w:hint="eastAsia" w:ascii="宋体" w:hAnsi="宋体" w:cs="宋体"/>
                <w:position w:val="-48"/>
                <w:sz w:val="24"/>
                <w:szCs w:val="24"/>
              </w:rPr>
              <w:t xml:space="preserve">    代理机构（盖章）              法定代表人（签字或盖章）</w:t>
            </w:r>
          </w:p>
          <w:p>
            <w:pPr>
              <w:snapToGrid w:val="0"/>
              <w:spacing w:line="360" w:lineRule="auto"/>
              <w:textAlignment w:val="baseline"/>
              <w:rPr>
                <w:rFonts w:ascii="宋体" w:hAnsi="宋体" w:cs="宋体"/>
                <w:position w:val="-48"/>
                <w:sz w:val="24"/>
                <w:szCs w:val="24"/>
              </w:rPr>
            </w:pPr>
          </w:p>
          <w:p>
            <w:pPr>
              <w:snapToGrid w:val="0"/>
              <w:spacing w:line="360" w:lineRule="auto"/>
              <w:ind w:right="960"/>
              <w:jc w:val="center"/>
              <w:textAlignment w:val="baseline"/>
              <w:rPr>
                <w:rFonts w:ascii="宋体" w:hAnsi="宋体" w:cs="宋体"/>
                <w:position w:val="-48"/>
                <w:sz w:val="24"/>
                <w:szCs w:val="24"/>
              </w:rPr>
            </w:pPr>
            <w:r>
              <w:rPr>
                <w:rFonts w:hint="eastAsia" w:ascii="宋体" w:hAnsi="宋体" w:cs="宋体"/>
                <w:position w:val="-48"/>
                <w:sz w:val="24"/>
                <w:szCs w:val="24"/>
              </w:rPr>
              <w:t xml:space="preserve">                                  日  期：2021年</w:t>
            </w:r>
            <w:r>
              <w:rPr>
                <w:rFonts w:hint="eastAsia" w:ascii="宋体" w:hAnsi="宋体" w:cs="宋体"/>
                <w:position w:val="-48"/>
                <w:sz w:val="24"/>
                <w:szCs w:val="24"/>
                <w:lang w:val="en-US" w:eastAsia="zh-CN"/>
              </w:rPr>
              <w:t>11</w:t>
            </w:r>
            <w:r>
              <w:rPr>
                <w:rFonts w:hint="eastAsia" w:ascii="宋体" w:hAnsi="宋体" w:cs="宋体"/>
                <w:position w:val="-48"/>
                <w:sz w:val="24"/>
                <w:szCs w:val="24"/>
              </w:rPr>
              <w:t>月</w:t>
            </w:r>
            <w:r>
              <w:rPr>
                <w:rFonts w:hint="eastAsia" w:ascii="宋体" w:hAnsi="宋体" w:cs="宋体"/>
                <w:position w:val="-48"/>
                <w:sz w:val="24"/>
                <w:szCs w:val="24"/>
                <w:lang w:val="en-US" w:eastAsia="zh-CN"/>
              </w:rPr>
              <w:t>1</w:t>
            </w:r>
            <w:r>
              <w:rPr>
                <w:rFonts w:hint="eastAsia" w:ascii="宋体" w:hAnsi="宋体" w:cs="宋体"/>
                <w:position w:val="-48"/>
                <w:sz w:val="24"/>
                <w:szCs w:val="24"/>
              </w:rPr>
              <w:t>日</w:t>
            </w:r>
          </w:p>
        </w:tc>
      </w:tr>
    </w:tbl>
    <w:p>
      <w:pPr>
        <w:snapToGrid w:val="0"/>
        <w:spacing w:line="360" w:lineRule="auto"/>
        <w:jc w:val="center"/>
        <w:textAlignment w:val="baseline"/>
        <w:rPr>
          <w:rFonts w:ascii="宋体" w:hAnsi="宋体" w:cs="宋体"/>
          <w:color w:val="000000"/>
          <w:w w:val="80"/>
          <w:sz w:val="24"/>
          <w:szCs w:val="24"/>
        </w:rPr>
      </w:pPr>
    </w:p>
    <w:p>
      <w:pPr>
        <w:pStyle w:val="24"/>
        <w:tabs>
          <w:tab w:val="left" w:pos="1050"/>
          <w:tab w:val="right" w:leader="dot" w:pos="9402"/>
        </w:tabs>
        <w:snapToGrid w:val="0"/>
        <w:spacing w:line="960" w:lineRule="exact"/>
        <w:ind w:left="0"/>
        <w:jc w:val="center"/>
        <w:textAlignment w:val="baseline"/>
        <w:rPr>
          <w:rFonts w:hint="eastAsia" w:ascii="宋体" w:hAnsi="宋体" w:eastAsia="宋体" w:cs="宋体"/>
          <w:b/>
          <w:i w:val="0"/>
          <w:color w:val="000000"/>
          <w:w w:val="80"/>
          <w:sz w:val="24"/>
          <w:szCs w:val="24"/>
          <w:lang w:eastAsia="zh-CN"/>
        </w:rPr>
      </w:pPr>
    </w:p>
    <w:p>
      <w:pPr>
        <w:rPr>
          <w:rFonts w:hint="eastAsia"/>
          <w:lang w:eastAsia="zh-CN"/>
        </w:rPr>
      </w:pPr>
    </w:p>
    <w:p>
      <w:pPr>
        <w:pStyle w:val="24"/>
        <w:tabs>
          <w:tab w:val="left" w:pos="1050"/>
          <w:tab w:val="right" w:leader="dot" w:pos="9402"/>
        </w:tabs>
        <w:snapToGrid w:val="0"/>
        <w:spacing w:line="960" w:lineRule="exact"/>
        <w:ind w:left="0"/>
        <w:jc w:val="center"/>
        <w:textAlignment w:val="baseline"/>
        <w:rPr>
          <w:rFonts w:ascii="宋体" w:cs="宋体"/>
          <w:b/>
          <w:i w:val="0"/>
          <w:color w:val="000000"/>
          <w:w w:val="80"/>
          <w:sz w:val="52"/>
          <w:szCs w:val="52"/>
        </w:rPr>
        <w:sectPr>
          <w:pgSz w:w="11906" w:h="16838"/>
          <w:pgMar w:top="1361" w:right="1417" w:bottom="1361" w:left="1417" w:header="851" w:footer="992" w:gutter="0"/>
          <w:pgNumType w:start="0" w:chapStyle="1"/>
          <w:cols w:space="0" w:num="1"/>
          <w:titlePg/>
          <w:rtlGutter w:val="0"/>
          <w:docGrid w:type="linesAndChars" w:linePitch="312" w:charSpace="0"/>
        </w:sectPr>
      </w:pPr>
    </w:p>
    <w:p>
      <w:pPr>
        <w:snapToGrid w:val="0"/>
        <w:textAlignment w:val="baseline"/>
        <w:rPr>
          <w:sz w:val="20"/>
        </w:rPr>
      </w:pPr>
    </w:p>
    <w:p>
      <w:pPr>
        <w:pStyle w:val="24"/>
        <w:tabs>
          <w:tab w:val="left" w:pos="1050"/>
          <w:tab w:val="right" w:leader="dot" w:pos="9402"/>
        </w:tabs>
        <w:snapToGrid w:val="0"/>
        <w:spacing w:line="960" w:lineRule="exact"/>
        <w:ind w:left="0"/>
        <w:jc w:val="center"/>
        <w:textAlignment w:val="baseline"/>
        <w:rPr>
          <w:rFonts w:ascii="宋体" w:cs="宋体"/>
          <w:b/>
          <w:i w:val="0"/>
          <w:color w:val="000000"/>
          <w:w w:val="80"/>
          <w:sz w:val="52"/>
          <w:szCs w:val="52"/>
        </w:rPr>
      </w:pPr>
      <w:r>
        <w:rPr>
          <w:rFonts w:hint="eastAsia" w:ascii="宋体" w:cs="宋体"/>
          <w:b/>
          <w:i w:val="0"/>
          <w:color w:val="000000"/>
          <w:w w:val="80"/>
          <w:sz w:val="52"/>
          <w:szCs w:val="52"/>
        </w:rPr>
        <w:t>目   录</w:t>
      </w:r>
    </w:p>
    <w:p>
      <w:pPr>
        <w:snapToGrid w:val="0"/>
        <w:spacing w:line="800" w:lineRule="exact"/>
        <w:jc w:val="center"/>
        <w:textAlignment w:val="baseline"/>
        <w:rPr>
          <w:rFonts w:ascii="宋体" w:hAnsi="宋体" w:cs="宋体"/>
          <w:b/>
          <w:color w:val="000000"/>
          <w:sz w:val="24"/>
          <w:szCs w:val="24"/>
        </w:rPr>
      </w:pP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r>
        <w:rPr>
          <w:rFonts w:hint="eastAsia" w:ascii="宋体" w:hAnsi="宋体" w:cs="宋体"/>
          <w:i w:val="0"/>
          <w:color w:val="000000"/>
          <w:w w:val="80"/>
          <w:sz w:val="36"/>
          <w:szCs w:val="36"/>
        </w:rPr>
        <w:t>第一章       竞争性磋商公告</w:t>
      </w: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r>
        <w:rPr>
          <w:rFonts w:hint="eastAsia" w:ascii="宋体" w:hAnsi="宋体" w:cs="宋体"/>
          <w:i w:val="0"/>
          <w:color w:val="000000"/>
          <w:w w:val="80"/>
          <w:sz w:val="36"/>
          <w:szCs w:val="36"/>
        </w:rPr>
        <w:t>第二章       磋商供应商须知</w:t>
      </w: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r>
        <w:rPr>
          <w:rFonts w:hint="eastAsia" w:ascii="宋体" w:hAnsi="宋体" w:cs="宋体"/>
          <w:i w:val="0"/>
          <w:color w:val="000000"/>
          <w:w w:val="80"/>
          <w:sz w:val="36"/>
          <w:szCs w:val="36"/>
        </w:rPr>
        <w:t>第三章       项目需求</w:t>
      </w: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p>
    <w:p>
      <w:pPr>
        <w:pStyle w:val="24"/>
        <w:numPr>
          <w:ilvl w:val="0"/>
          <w:numId w:val="2"/>
        </w:numPr>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r>
        <w:rPr>
          <w:rFonts w:hint="eastAsia" w:ascii="宋体" w:hAnsi="宋体" w:cs="宋体"/>
          <w:i w:val="0"/>
          <w:color w:val="000000"/>
          <w:w w:val="80"/>
          <w:sz w:val="36"/>
          <w:szCs w:val="36"/>
        </w:rPr>
        <w:t xml:space="preserve">      评审方法和程序</w:t>
      </w: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p>
    <w:p>
      <w:pPr>
        <w:pStyle w:val="24"/>
        <w:numPr>
          <w:ilvl w:val="0"/>
          <w:numId w:val="2"/>
        </w:numPr>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r>
        <w:rPr>
          <w:rFonts w:hint="eastAsia" w:ascii="宋体" w:hAnsi="宋体" w:cs="宋体"/>
          <w:i w:val="0"/>
          <w:color w:val="000000"/>
          <w:w w:val="80"/>
          <w:sz w:val="36"/>
          <w:szCs w:val="36"/>
        </w:rPr>
        <w:t xml:space="preserve">      合同主要条款</w:t>
      </w: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p>
    <w:p>
      <w:pPr>
        <w:pStyle w:val="24"/>
        <w:numPr>
          <w:ilvl w:val="0"/>
          <w:numId w:val="2"/>
        </w:numPr>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r>
        <w:rPr>
          <w:rFonts w:hint="eastAsia" w:ascii="宋体" w:hAnsi="宋体" w:cs="宋体"/>
          <w:i w:val="0"/>
          <w:color w:val="000000"/>
          <w:w w:val="80"/>
          <w:sz w:val="36"/>
          <w:szCs w:val="36"/>
        </w:rPr>
        <w:t xml:space="preserve">      合同授予</w:t>
      </w: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p>
    <w:p>
      <w:pPr>
        <w:pStyle w:val="24"/>
        <w:numPr>
          <w:ilvl w:val="0"/>
          <w:numId w:val="2"/>
        </w:numPr>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r>
        <w:rPr>
          <w:rFonts w:hint="eastAsia" w:ascii="宋体" w:hAnsi="宋体" w:cs="宋体"/>
          <w:i w:val="0"/>
          <w:color w:val="000000"/>
          <w:w w:val="80"/>
          <w:sz w:val="36"/>
          <w:szCs w:val="36"/>
        </w:rPr>
        <w:t xml:space="preserve">      质疑提出和处理</w:t>
      </w: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p>
    <w:p>
      <w:pPr>
        <w:pStyle w:val="24"/>
        <w:numPr>
          <w:ilvl w:val="0"/>
          <w:numId w:val="2"/>
        </w:numPr>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r>
        <w:rPr>
          <w:rFonts w:hint="eastAsia" w:ascii="宋体" w:hAnsi="宋体" w:cs="宋体"/>
          <w:i w:val="0"/>
          <w:color w:val="000000"/>
          <w:w w:val="80"/>
          <w:sz w:val="36"/>
          <w:szCs w:val="36"/>
        </w:rPr>
        <w:t xml:space="preserve">      响应文件组成及格式</w:t>
      </w: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p>
    <w:p>
      <w:pPr>
        <w:pStyle w:val="24"/>
        <w:tabs>
          <w:tab w:val="left" w:pos="1050"/>
          <w:tab w:val="right" w:leader="dot" w:pos="9402"/>
        </w:tabs>
        <w:snapToGrid w:val="0"/>
        <w:spacing w:line="520" w:lineRule="exact"/>
        <w:ind w:left="0"/>
        <w:textAlignment w:val="baseline"/>
        <w:rPr>
          <w:rFonts w:ascii="宋体" w:hAnsi="宋体" w:cs="宋体"/>
          <w:i w:val="0"/>
          <w:color w:val="000000"/>
          <w:w w:val="80"/>
          <w:sz w:val="36"/>
          <w:szCs w:val="36"/>
        </w:rPr>
      </w:pPr>
    </w:p>
    <w:p>
      <w:pPr>
        <w:snapToGrid w:val="0"/>
        <w:spacing w:line="360" w:lineRule="auto"/>
        <w:textAlignment w:val="baseline"/>
        <w:rPr>
          <w:rFonts w:hint="eastAsia" w:ascii="宋体" w:hAnsi="宋体" w:eastAsia="宋体" w:cs="宋体"/>
          <w:b/>
          <w:color w:val="000000"/>
          <w:sz w:val="24"/>
          <w:szCs w:val="24"/>
          <w:lang w:eastAsia="zh-CN"/>
        </w:rPr>
      </w:pPr>
    </w:p>
    <w:p>
      <w:pPr>
        <w:pStyle w:val="2"/>
        <w:rPr>
          <w:rFonts w:hint="eastAsia"/>
          <w:lang w:eastAsia="zh-CN"/>
        </w:rPr>
      </w:pPr>
    </w:p>
    <w:p>
      <w:pPr>
        <w:snapToGrid w:val="0"/>
        <w:textAlignment w:val="baseline"/>
        <w:rPr>
          <w:rFonts w:ascii="宋体" w:hAnsi="宋体" w:cs="宋体"/>
          <w:b/>
          <w:color w:val="000000"/>
          <w:sz w:val="24"/>
          <w:szCs w:val="24"/>
        </w:rPr>
      </w:pPr>
      <w:r>
        <w:rPr>
          <w:rFonts w:hint="eastAsia" w:ascii="宋体" w:hAnsi="宋体" w:cs="宋体"/>
          <w:b/>
          <w:color w:val="000000"/>
          <w:sz w:val="24"/>
          <w:szCs w:val="24"/>
        </w:rPr>
        <w:br w:type="page"/>
      </w:r>
    </w:p>
    <w:p>
      <w:pPr>
        <w:snapToGrid w:val="0"/>
        <w:spacing w:line="360" w:lineRule="auto"/>
        <w:textAlignment w:val="baseline"/>
        <w:rPr>
          <w:rFonts w:ascii="宋体" w:hAnsi="宋体" w:cs="宋体"/>
          <w:b/>
          <w:color w:val="000000"/>
          <w:sz w:val="24"/>
        </w:rPr>
      </w:pPr>
      <w:r>
        <w:rPr>
          <w:rFonts w:hint="eastAsia" w:ascii="宋体" w:hAnsi="宋体" w:cs="宋体"/>
          <w:b/>
          <w:color w:val="000000"/>
          <w:sz w:val="24"/>
          <w:szCs w:val="24"/>
        </w:rPr>
        <w:t>尊敬的磋商供应商：</w:t>
      </w:r>
    </w:p>
    <w:p>
      <w:pPr>
        <w:snapToGrid w:val="0"/>
        <w:spacing w:line="360" w:lineRule="auto"/>
        <w:ind w:firstLine="480" w:firstLineChars="200"/>
        <w:textAlignment w:val="baseline"/>
        <w:rPr>
          <w:rFonts w:ascii="宋体" w:hAnsi="宋体" w:cs="宋体"/>
          <w:b/>
          <w:color w:val="000000"/>
          <w:sz w:val="24"/>
          <w:szCs w:val="24"/>
        </w:rPr>
      </w:pPr>
      <w:r>
        <w:rPr>
          <w:rFonts w:hint="eastAsia" w:ascii="宋体" w:hAnsi="宋体" w:cs="宋体"/>
          <w:b/>
          <w:color w:val="000000"/>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4"/>
        <w:tabs>
          <w:tab w:val="left" w:pos="1050"/>
          <w:tab w:val="right" w:leader="dot" w:pos="9402"/>
        </w:tabs>
        <w:snapToGrid w:val="0"/>
        <w:spacing w:line="360" w:lineRule="auto"/>
        <w:ind w:left="0"/>
        <w:jc w:val="center"/>
        <w:textAlignment w:val="baseline"/>
        <w:rPr>
          <w:rFonts w:ascii="宋体" w:hAnsi="宋体" w:cs="宋体"/>
          <w:b/>
          <w:i w:val="0"/>
          <w:color w:val="000000"/>
          <w:w w:val="80"/>
          <w:sz w:val="44"/>
          <w:szCs w:val="44"/>
        </w:rPr>
      </w:pPr>
      <w:bookmarkStart w:id="10" w:name="_Toc363573853"/>
      <w:r>
        <w:rPr>
          <w:rFonts w:hint="eastAsia" w:ascii="宋体" w:hAnsi="宋体" w:cs="宋体"/>
          <w:b/>
          <w:i w:val="0"/>
          <w:color w:val="00000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i w:val="0"/>
          <w:color w:val="000000"/>
          <w:w w:val="80"/>
          <w:sz w:val="44"/>
          <w:szCs w:val="44"/>
        </w:rPr>
        <w:t>告</w:t>
      </w:r>
      <w:bookmarkEnd w:id="10"/>
    </w:p>
    <w:p>
      <w:pPr>
        <w:snapToGrid w:val="0"/>
        <w:textAlignment w:val="baseline"/>
        <w:rPr>
          <w:sz w:val="20"/>
        </w:rPr>
      </w:pPr>
    </w:p>
    <w:p>
      <w:pPr>
        <w:snapToGrid w:val="0"/>
        <w:textAlignment w:val="baseline"/>
        <w:rPr>
          <w:sz w:val="20"/>
        </w:rPr>
      </w:pPr>
      <w:bookmarkStart w:id="11" w:name="_Toc11499584"/>
      <w:bookmarkStart w:id="12" w:name="_Toc94544828"/>
      <w:bookmarkStart w:id="13" w:name="_Toc11500280"/>
      <w:bookmarkStart w:id="14" w:name="_Toc521203418"/>
      <w:bookmarkStart w:id="15" w:name="_Toc12670503"/>
      <w:bookmarkStart w:id="16" w:name="_Toc521201597"/>
      <w:bookmarkStart w:id="17" w:name="_Toc94544744"/>
      <w:bookmarkStart w:id="18" w:name="_Toc94585340"/>
      <w:bookmarkStart w:id="19" w:name="_Toc11554639"/>
      <w:bookmarkStart w:id="20" w:name="_Toc8895739"/>
      <w:bookmarkStart w:id="21" w:name="_Toc363573854"/>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bCs/>
          <w:sz w:val="24"/>
          <w:szCs w:val="24"/>
          <w:u w:val="single" w:color="000000"/>
        </w:rPr>
        <w:t>南通市公安局崇川分局陈桥派出所智能枪弹柜、智能单警装备柜采购项目</w:t>
      </w:r>
      <w:r>
        <w:rPr>
          <w:rFonts w:hint="eastAsia" w:ascii="宋体" w:hAnsi="宋体" w:cs="宋体"/>
          <w:sz w:val="24"/>
          <w:szCs w:val="24"/>
        </w:rPr>
        <w:t>的潜在供应商应在</w:t>
      </w:r>
      <w:r>
        <w:rPr>
          <w:rFonts w:hint="eastAsia" w:ascii="宋体" w:hAnsi="宋体" w:cs="宋体"/>
          <w:bCs/>
          <w:sz w:val="24"/>
          <w:szCs w:val="24"/>
          <w:u w:val="single" w:color="000000"/>
        </w:rPr>
        <w:t>“南通市公安局（http://gaj.nantong.gov.cn/）→法定主动公开内容→政府采购”</w:t>
      </w:r>
      <w:r>
        <w:rPr>
          <w:rFonts w:hint="eastAsia" w:ascii="宋体" w:hAnsi="宋体" w:cs="宋体"/>
          <w:sz w:val="24"/>
          <w:szCs w:val="24"/>
          <w:u w:val="single" w:color="000000"/>
        </w:rPr>
        <w:t>栏</w:t>
      </w:r>
      <w:r>
        <w:rPr>
          <w:rFonts w:hint="eastAsia" w:ascii="宋体" w:hAnsi="宋体" w:cs="宋体"/>
          <w:sz w:val="24"/>
          <w:szCs w:val="24"/>
        </w:rPr>
        <w:t>获取采购文件，并于</w:t>
      </w:r>
      <w:r>
        <w:rPr>
          <w:rFonts w:hint="eastAsia" w:ascii="宋体" w:hAnsi="宋体" w:cs="宋体"/>
          <w:sz w:val="24"/>
          <w:szCs w:val="24"/>
          <w:u w:val="single" w:color="000000"/>
        </w:rPr>
        <w:t xml:space="preserve"> 2021</w:t>
      </w:r>
      <w:r>
        <w:rPr>
          <w:rFonts w:hint="eastAsia" w:ascii="宋体" w:hAnsi="宋体" w:cs="宋体"/>
          <w:bCs/>
          <w:sz w:val="24"/>
          <w:szCs w:val="24"/>
          <w:u w:val="single" w:color="000000"/>
        </w:rPr>
        <w:t>年</w:t>
      </w:r>
      <w:r>
        <w:rPr>
          <w:rFonts w:hint="eastAsia" w:ascii="宋体" w:hAnsi="宋体" w:cs="宋体"/>
          <w:bCs/>
          <w:sz w:val="24"/>
          <w:szCs w:val="24"/>
          <w:u w:val="single" w:color="000000"/>
          <w:lang w:val="en-US" w:eastAsia="zh-CN"/>
        </w:rPr>
        <w:t>11</w:t>
      </w:r>
      <w:r>
        <w:rPr>
          <w:rFonts w:hint="eastAsia" w:ascii="宋体" w:hAnsi="宋体" w:cs="宋体"/>
          <w:bCs/>
          <w:sz w:val="24"/>
          <w:szCs w:val="24"/>
          <w:u w:val="single" w:color="000000"/>
        </w:rPr>
        <w:t>月</w:t>
      </w:r>
      <w:r>
        <w:rPr>
          <w:rFonts w:hint="eastAsia" w:ascii="宋体" w:hAnsi="宋体" w:cs="宋体"/>
          <w:bCs/>
          <w:sz w:val="24"/>
          <w:szCs w:val="24"/>
          <w:u w:val="single" w:color="000000"/>
          <w:lang w:val="en-US" w:eastAsia="zh-CN"/>
        </w:rPr>
        <w:t>15</w:t>
      </w:r>
      <w:r>
        <w:rPr>
          <w:rFonts w:hint="eastAsia" w:ascii="宋体" w:hAnsi="宋体" w:cs="宋体"/>
          <w:bCs/>
          <w:sz w:val="24"/>
          <w:szCs w:val="24"/>
          <w:u w:val="single" w:color="000000"/>
        </w:rPr>
        <w:t>日</w:t>
      </w:r>
      <w:r>
        <w:rPr>
          <w:rFonts w:hint="eastAsia" w:ascii="宋体" w:hAnsi="宋体" w:cs="宋体"/>
          <w:bCs/>
          <w:sz w:val="24"/>
          <w:szCs w:val="24"/>
          <w:u w:val="single" w:color="000000"/>
          <w:lang w:val="en-US" w:eastAsia="zh-CN"/>
        </w:rPr>
        <w:t>14</w:t>
      </w:r>
      <w:r>
        <w:rPr>
          <w:rFonts w:hint="eastAsia" w:ascii="宋体" w:hAnsi="宋体" w:cs="宋体"/>
          <w:bCs/>
          <w:sz w:val="24"/>
          <w:szCs w:val="24"/>
          <w:u w:val="single" w:color="000000"/>
        </w:rPr>
        <w:t>点</w:t>
      </w:r>
      <w:r>
        <w:rPr>
          <w:rFonts w:hint="eastAsia" w:ascii="宋体" w:hAnsi="宋体" w:cs="宋体"/>
          <w:bCs/>
          <w:sz w:val="24"/>
          <w:szCs w:val="24"/>
          <w:u w:val="single" w:color="000000"/>
          <w:lang w:val="en-US" w:eastAsia="zh-CN"/>
        </w:rPr>
        <w:t>30</w:t>
      </w:r>
      <w:r>
        <w:rPr>
          <w:rFonts w:hint="eastAsia" w:ascii="宋体" w:hAnsi="宋体" w:cs="宋体"/>
          <w:bCs/>
          <w:sz w:val="24"/>
          <w:szCs w:val="24"/>
          <w:u w:val="single" w:color="000000"/>
        </w:rPr>
        <w:t>分</w:t>
      </w:r>
      <w:r>
        <w:rPr>
          <w:rFonts w:hint="eastAsia" w:ascii="宋体" w:hAnsi="宋体" w:cs="宋体"/>
          <w:bCs/>
          <w:sz w:val="24"/>
          <w:szCs w:val="24"/>
        </w:rPr>
        <w:t>（北京时间）前提交响应文件</w:t>
      </w:r>
      <w:r>
        <w:rPr>
          <w:rFonts w:hint="eastAsia" w:ascii="宋体" w:hAnsi="宋体" w:cs="宋体"/>
          <w:sz w:val="24"/>
          <w:szCs w:val="24"/>
        </w:rPr>
        <w:t>。</w:t>
      </w:r>
    </w:p>
    <w:p>
      <w:pPr>
        <w:snapToGrid w:val="0"/>
        <w:spacing w:line="360" w:lineRule="auto"/>
        <w:textAlignment w:val="baseline"/>
        <w:rPr>
          <w:rFonts w:ascii="宋体" w:hAnsi="宋体" w:cs="宋体"/>
          <w:sz w:val="20"/>
        </w:rPr>
      </w:pPr>
    </w:p>
    <w:p>
      <w:pPr>
        <w:pStyle w:val="6"/>
        <w:snapToGrid w:val="0"/>
        <w:spacing w:before="0" w:after="0" w:line="360" w:lineRule="auto"/>
        <w:rPr>
          <w:rFonts w:ascii="宋体" w:hAnsi="宋体" w:eastAsia="宋体" w:cs="宋体"/>
          <w:bCs/>
          <w:sz w:val="24"/>
          <w:szCs w:val="24"/>
        </w:rPr>
      </w:pPr>
      <w:r>
        <w:rPr>
          <w:rFonts w:hint="eastAsia" w:ascii="宋体" w:hAnsi="宋体" w:eastAsia="宋体" w:cs="宋体"/>
          <w:bCs/>
          <w:sz w:val="24"/>
          <w:szCs w:val="24"/>
        </w:rPr>
        <w:t>一、项目基本情况</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lang w:val="en-US" w:eastAsia="zh-CN"/>
        </w:rPr>
        <w:t>WLDL202111107</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项目名称：南通市公安局崇川分局陈桥派出所智能枪弹柜、智能单警装备柜采购项目</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预算金额：</w:t>
      </w:r>
      <w:r>
        <w:rPr>
          <w:rFonts w:hint="eastAsia" w:ascii="宋体" w:hAnsi="宋体" w:cs="宋体"/>
          <w:color w:val="000000"/>
          <w:sz w:val="24"/>
          <w:szCs w:val="24"/>
        </w:rPr>
        <w:t>人民币25万元</w:t>
      </w:r>
    </w:p>
    <w:p>
      <w:pPr>
        <w:snapToGrid w:val="0"/>
        <w:spacing w:line="360" w:lineRule="auto"/>
        <w:ind w:firstLine="480" w:firstLineChars="200"/>
        <w:textAlignment w:val="baseline"/>
        <w:rPr>
          <w:rFonts w:ascii="宋体" w:hAnsi="宋体" w:cs="宋体"/>
          <w:sz w:val="24"/>
          <w:szCs w:val="24"/>
          <w:u w:val="single"/>
        </w:rPr>
      </w:pPr>
      <w:r>
        <w:rPr>
          <w:rFonts w:hint="eastAsia" w:ascii="宋体" w:hAnsi="宋体" w:cs="宋体"/>
          <w:sz w:val="24"/>
          <w:szCs w:val="24"/>
        </w:rPr>
        <w:t>采购需求：详见第三章项目需求</w:t>
      </w:r>
    </w:p>
    <w:p>
      <w:pPr>
        <w:snapToGrid w:val="0"/>
        <w:spacing w:line="360" w:lineRule="auto"/>
        <w:ind w:firstLine="480" w:firstLineChars="200"/>
        <w:textAlignment w:val="baseline"/>
        <w:rPr>
          <w:rFonts w:ascii="宋体" w:hAnsi="宋体" w:cs="宋体"/>
          <w:sz w:val="24"/>
          <w:szCs w:val="24"/>
          <w:u w:val="single"/>
        </w:rPr>
      </w:pPr>
      <w:r>
        <w:rPr>
          <w:rFonts w:hint="eastAsia" w:ascii="宋体" w:hAnsi="宋体" w:cs="宋体"/>
          <w:sz w:val="24"/>
          <w:szCs w:val="24"/>
        </w:rPr>
        <w:t>合同履行期限：详见竞争性磋商文件</w:t>
      </w:r>
    </w:p>
    <w:p>
      <w:pPr>
        <w:snapToGrid w:val="0"/>
        <w:spacing w:line="360" w:lineRule="auto"/>
        <w:ind w:firstLine="508" w:firstLineChars="200"/>
        <w:textAlignment w:val="baseline"/>
        <w:rPr>
          <w:rFonts w:ascii="宋体" w:hAnsi="宋体" w:cs="宋体"/>
          <w:sz w:val="24"/>
          <w:szCs w:val="24"/>
        </w:rPr>
      </w:pPr>
      <w:r>
        <w:rPr>
          <w:rFonts w:hint="eastAsia" w:ascii="宋体" w:hAnsi="宋体" w:cs="宋体"/>
          <w:color w:val="333333"/>
          <w:spacing w:val="7"/>
          <w:sz w:val="24"/>
          <w:szCs w:val="24"/>
          <w:shd w:val="clear" w:color="auto" w:fill="FFFFFF"/>
        </w:rPr>
        <w:t>本项目不接受联合体。</w:t>
      </w:r>
    </w:p>
    <w:p>
      <w:pPr>
        <w:pStyle w:val="6"/>
        <w:snapToGrid w:val="0"/>
        <w:spacing w:before="0" w:after="0" w:line="360" w:lineRule="auto"/>
        <w:rPr>
          <w:rFonts w:ascii="宋体" w:hAnsi="宋体" w:eastAsia="宋体" w:cs="宋体"/>
          <w:bCs/>
          <w:sz w:val="24"/>
          <w:szCs w:val="24"/>
        </w:rPr>
      </w:pPr>
      <w:r>
        <w:rPr>
          <w:rFonts w:hint="eastAsia" w:ascii="宋体" w:hAnsi="宋体" w:eastAsia="宋体" w:cs="宋体"/>
          <w:bCs/>
          <w:sz w:val="24"/>
          <w:szCs w:val="24"/>
        </w:rPr>
        <w:t>二、申请人的资格要求：</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sz w:val="20"/>
        </w:rPr>
      </w:pPr>
      <w:r>
        <w:rPr>
          <w:rFonts w:hint="eastAsia" w:ascii="宋体" w:hAnsi="宋体" w:cs="宋体"/>
          <w:sz w:val="24"/>
          <w:szCs w:val="24"/>
        </w:rPr>
        <w:t>其他资格要求：</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1、法定代表人为同一个人的两个及两个以上法人，母公司、全资子公司及其控股公司，都不得在同一采购项目相同标段中同时参加投标，一经发现，将视同围标处理。</w:t>
      </w:r>
    </w:p>
    <w:p>
      <w:pPr>
        <w:keepNext w:val="0"/>
        <w:keepLines w:val="0"/>
        <w:pageBreakBefore w:val="0"/>
        <w:widowControl w:val="0"/>
        <w:kinsoku/>
        <w:wordWrap/>
        <w:overflowPunct/>
        <w:topLinePunct w:val="0"/>
        <w:bidi w:val="0"/>
        <w:snapToGrid w:val="0"/>
        <w:spacing w:line="360" w:lineRule="auto"/>
        <w:ind w:firstLine="470" w:firstLineChars="196"/>
        <w:jc w:val="left"/>
        <w:textAlignment w:val="baseline"/>
        <w:rPr>
          <w:sz w:val="20"/>
        </w:rPr>
      </w:pPr>
      <w:r>
        <w:rPr>
          <w:rFonts w:hint="eastAsia" w:ascii="宋体" w:hAnsi="宋体" w:cs="宋体"/>
          <w:sz w:val="24"/>
          <w:szCs w:val="24"/>
        </w:rPr>
        <w:t>2、供应商必须是有能力按本磋商文件规定的要求提供货物及提供相关伴随服务能力的制造商或代理商，须提供有效的三证合一的企业法人营业执照复印件或扫描件。</w:t>
      </w:r>
      <w:r>
        <w:rPr>
          <w:rFonts w:hint="eastAsia" w:ascii="宋体" w:hAnsi="宋体" w:cs="宋体"/>
          <w:b/>
          <w:bCs/>
          <w:sz w:val="24"/>
          <w:szCs w:val="24"/>
        </w:rPr>
        <w:t>如为代理商参加磋商的，还须提供制造商的营业执照复印件或扫描件。</w:t>
      </w:r>
    </w:p>
    <w:p>
      <w:pPr>
        <w:keepNext w:val="0"/>
        <w:keepLines w:val="0"/>
        <w:pageBreakBefore w:val="0"/>
        <w:widowControl w:val="0"/>
        <w:kinsoku/>
        <w:wordWrap/>
        <w:overflowPunct/>
        <w:topLinePunct w:val="0"/>
        <w:bidi w:val="0"/>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3、提供供应商的法定代表人或负责人身份证明及身份证原件的复印件或扫描件（须加盖供应商公章，格式参见竞争性磋商文件第八章）。</w:t>
      </w:r>
    </w:p>
    <w:p>
      <w:pPr>
        <w:keepNext w:val="0"/>
        <w:keepLines w:val="0"/>
        <w:pageBreakBefore w:val="0"/>
        <w:widowControl w:val="0"/>
        <w:kinsoku/>
        <w:wordWrap/>
        <w:overflowPunct/>
        <w:topLinePunct w:val="0"/>
        <w:bidi w:val="0"/>
        <w:snapToGrid w:val="0"/>
        <w:spacing w:line="360" w:lineRule="auto"/>
        <w:ind w:firstLine="559" w:firstLineChars="233"/>
        <w:textAlignment w:val="baseline"/>
        <w:rPr>
          <w:rFonts w:ascii="宋体" w:hAnsi="宋体" w:cs="宋体"/>
          <w:sz w:val="24"/>
          <w:szCs w:val="24"/>
        </w:rPr>
      </w:pPr>
      <w:r>
        <w:rPr>
          <w:rFonts w:hint="eastAsia" w:ascii="宋体" w:hAnsi="宋体" w:cs="宋体"/>
          <w:sz w:val="24"/>
          <w:szCs w:val="24"/>
        </w:rPr>
        <w:t>4、如为被委托受权人参加竞争性磋商的，还必须提供法定代表人或负责人签名或盖章的授权委托书及被委托受权人身份证这两项原件的复印件或扫描件（须加盖供应商公章，格式参见竞争性磋商文件第八章）。</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5、供应商须提供参与本次项目政府采购活动前三年内，在经营活动中没有重大违法记录的书面《无重大违法记录声明函》（格式参见竞争性磋商文件第八章）。</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6、关于资格文件的声明函（格式参见竞争性磋商文件第八章）。</w:t>
      </w:r>
    </w:p>
    <w:p>
      <w:pPr>
        <w:keepNext w:val="0"/>
        <w:keepLines w:val="0"/>
        <w:pageBreakBefore w:val="0"/>
        <w:widowControl w:val="0"/>
        <w:shd w:val="clear" w:color="auto" w:fill="FFFFFF"/>
        <w:kinsoku/>
        <w:wordWrap/>
        <w:overflowPunct/>
        <w:topLinePunct w:val="0"/>
        <w:bidi w:val="0"/>
        <w:snapToGrid w:val="0"/>
        <w:spacing w:line="360" w:lineRule="auto"/>
        <w:ind w:firstLine="560"/>
        <w:jc w:val="left"/>
        <w:textAlignment w:val="baseline"/>
        <w:rPr>
          <w:rFonts w:ascii="宋体" w:hAnsi="宋体" w:cs="宋体"/>
          <w:color w:val="333333"/>
          <w:kern w:val="0"/>
          <w:sz w:val="24"/>
          <w:szCs w:val="24"/>
        </w:rPr>
      </w:pPr>
      <w:r>
        <w:rPr>
          <w:rFonts w:hint="eastAsia" w:ascii="宋体" w:hAnsi="宋体" w:cs="宋体"/>
          <w:color w:val="333333"/>
          <w:kern w:val="0"/>
          <w:sz w:val="24"/>
          <w:szCs w:val="24"/>
        </w:rPr>
        <w:t>（二）本项目的特定资格要求：无</w:t>
      </w:r>
    </w:p>
    <w:p>
      <w:pPr>
        <w:keepNext w:val="0"/>
        <w:keepLines w:val="0"/>
        <w:pageBreakBefore w:val="0"/>
        <w:widowControl w:val="0"/>
        <w:shd w:val="clear" w:color="auto" w:fill="FFFFFF"/>
        <w:kinsoku/>
        <w:wordWrap/>
        <w:overflowPunct/>
        <w:topLinePunct w:val="0"/>
        <w:bidi w:val="0"/>
        <w:snapToGrid w:val="0"/>
        <w:spacing w:line="360" w:lineRule="auto"/>
        <w:ind w:firstLine="560"/>
        <w:jc w:val="left"/>
        <w:textAlignment w:val="baseline"/>
        <w:rPr>
          <w:rFonts w:ascii="宋体" w:hAnsi="宋体" w:cs="宋体"/>
          <w:color w:val="333333"/>
          <w:kern w:val="0"/>
          <w:sz w:val="24"/>
          <w:szCs w:val="24"/>
        </w:rPr>
      </w:pPr>
      <w:r>
        <w:rPr>
          <w:rFonts w:hint="eastAsia" w:ascii="宋体" w:hAnsi="宋体" w:cs="宋体"/>
          <w:color w:val="333333"/>
          <w:kern w:val="0"/>
          <w:sz w:val="24"/>
          <w:szCs w:val="24"/>
        </w:rPr>
        <w:t>（三）落实政府采购政策需满足的资格要求：无</w:t>
      </w:r>
    </w:p>
    <w:p>
      <w:pPr>
        <w:pStyle w:val="2"/>
        <w:keepNext w:val="0"/>
        <w:keepLines w:val="0"/>
        <w:pageBreakBefore w:val="0"/>
        <w:widowControl w:val="0"/>
        <w:kinsoku/>
        <w:wordWrap/>
        <w:overflowPunct/>
        <w:topLinePunct w:val="0"/>
        <w:bidi w:val="0"/>
        <w:snapToGrid w:val="0"/>
        <w:spacing w:after="0" w:line="360" w:lineRule="auto"/>
        <w:ind w:firstLine="482"/>
        <w:textAlignment w:val="baseline"/>
        <w:rPr>
          <w:rFonts w:ascii="宋体" w:hAnsi="宋体" w:cs="宋体"/>
          <w:b/>
          <w:bCs/>
          <w:color w:val="333333"/>
          <w:kern w:val="0"/>
          <w:szCs w:val="24"/>
        </w:rPr>
      </w:pPr>
      <w:r>
        <w:rPr>
          <w:rFonts w:hint="eastAsia" w:ascii="宋体" w:hAnsi="宋体" w:cs="宋体"/>
          <w:b/>
          <w:bCs/>
          <w:color w:val="333333"/>
          <w:kern w:val="0"/>
          <w:szCs w:val="24"/>
        </w:rPr>
        <w:t>【特别提醒】请各供应商认真对照资格要求，如不符合要求，无意或故意参与磋商的，所产生的一切后果由供应商承担。若供应商提供的相关材料为虚假或伪造，</w:t>
      </w:r>
      <w:r>
        <w:rPr>
          <w:rFonts w:hint="eastAsia" w:ascii="宋体" w:hAnsi="宋体" w:cs="宋体"/>
          <w:b/>
          <w:bCs/>
          <w:szCs w:val="24"/>
        </w:rPr>
        <w:t>将作无效响应处理，并报财政部门将其列入政府采购黑名单。</w:t>
      </w:r>
    </w:p>
    <w:p>
      <w:pPr>
        <w:pStyle w:val="2"/>
        <w:keepNext w:val="0"/>
        <w:keepLines w:val="0"/>
        <w:pageBreakBefore w:val="0"/>
        <w:widowControl w:val="0"/>
        <w:kinsoku/>
        <w:wordWrap/>
        <w:overflowPunct/>
        <w:topLinePunct w:val="0"/>
        <w:bidi w:val="0"/>
        <w:snapToGrid w:val="0"/>
        <w:spacing w:after="0" w:line="360" w:lineRule="auto"/>
        <w:ind w:firstLine="482"/>
        <w:textAlignment w:val="baseline"/>
        <w:rPr>
          <w:rFonts w:ascii="宋体" w:hAnsi="宋体" w:cs="宋体"/>
          <w:b/>
          <w:bCs/>
          <w:color w:val="333333"/>
          <w:kern w:val="0"/>
          <w:szCs w:val="24"/>
        </w:rPr>
      </w:pPr>
      <w:r>
        <w:rPr>
          <w:rFonts w:hint="eastAsia" w:ascii="宋体" w:hAnsi="宋体" w:cs="宋体"/>
          <w:b/>
          <w:bCs/>
          <w:color w:val="333333"/>
          <w:kern w:val="0"/>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keepNext w:val="0"/>
        <w:keepLines w:val="0"/>
        <w:pageBreakBefore w:val="0"/>
        <w:widowControl w:val="0"/>
        <w:kinsoku/>
        <w:wordWrap/>
        <w:overflowPunct/>
        <w:topLinePunct w:val="0"/>
        <w:bidi w:val="0"/>
        <w:snapToGrid w:val="0"/>
        <w:spacing w:after="0" w:line="360" w:lineRule="auto"/>
        <w:ind w:firstLine="482"/>
        <w:textAlignment w:val="baseline"/>
        <w:rPr>
          <w:rFonts w:ascii="宋体" w:hAnsi="宋体" w:cs="宋体"/>
          <w:b/>
          <w:bCs/>
          <w:szCs w:val="24"/>
        </w:rPr>
      </w:pPr>
      <w:r>
        <w:rPr>
          <w:rFonts w:hint="eastAsia" w:ascii="宋体" w:hAnsi="宋体" w:cs="宋体"/>
          <w:b/>
          <w:bCs/>
          <w:color w:val="333333"/>
          <w:kern w:val="0"/>
          <w:szCs w:val="24"/>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Cs w:val="24"/>
        </w:rPr>
        <w:t>。</w:t>
      </w:r>
    </w:p>
    <w:p>
      <w:pPr>
        <w:pStyle w:val="6"/>
        <w:keepNext w:val="0"/>
        <w:keepLines w:val="0"/>
        <w:pageBreakBefore w:val="0"/>
        <w:widowControl w:val="0"/>
        <w:kinsoku/>
        <w:wordWrap/>
        <w:overflowPunct/>
        <w:topLinePunct w:val="0"/>
        <w:bidi w:val="0"/>
        <w:snapToGrid w:val="0"/>
        <w:spacing w:before="0" w:after="0" w:line="360" w:lineRule="auto"/>
        <w:rPr>
          <w:rFonts w:ascii="宋体" w:hAnsi="宋体" w:eastAsia="宋体" w:cs="宋体"/>
          <w:bCs/>
          <w:sz w:val="24"/>
          <w:szCs w:val="24"/>
        </w:rPr>
      </w:pPr>
      <w:r>
        <w:rPr>
          <w:rFonts w:hint="eastAsia" w:ascii="宋体" w:hAnsi="宋体" w:eastAsia="宋体" w:cs="宋体"/>
          <w:bCs/>
          <w:sz w:val="24"/>
          <w:szCs w:val="24"/>
        </w:rPr>
        <w:t>三、获取采购文件</w:t>
      </w:r>
    </w:p>
    <w:p>
      <w:pPr>
        <w:keepNext w:val="0"/>
        <w:keepLines w:val="0"/>
        <w:pageBreakBefore w:val="0"/>
        <w:widowControl w:val="0"/>
        <w:kinsoku/>
        <w:wordWrap/>
        <w:overflowPunct/>
        <w:topLinePunct w:val="0"/>
        <w:bidi w:val="0"/>
        <w:snapToGrid w:val="0"/>
        <w:spacing w:line="360" w:lineRule="auto"/>
        <w:ind w:firstLine="540"/>
        <w:textAlignment w:val="baseline"/>
        <w:rPr>
          <w:rFonts w:ascii="宋体" w:hAnsi="宋体" w:cs="宋体"/>
          <w:sz w:val="24"/>
          <w:szCs w:val="24"/>
        </w:rPr>
      </w:pPr>
      <w:r>
        <w:rPr>
          <w:rFonts w:hint="eastAsia" w:ascii="宋体" w:hAnsi="宋体" w:cs="宋体"/>
          <w:sz w:val="24"/>
          <w:szCs w:val="24"/>
        </w:rPr>
        <w:t>时  间：</w:t>
      </w:r>
      <w:r>
        <w:rPr>
          <w:rFonts w:hint="eastAsia" w:ascii="宋体" w:hAnsi="宋体" w:cs="宋体"/>
          <w:sz w:val="24"/>
          <w:szCs w:val="24"/>
          <w:u w:val="single" w:color="000000"/>
          <w:lang w:val="en-US" w:eastAsia="zh-CN"/>
        </w:rPr>
        <w:t>自本公告发布之日起</w:t>
      </w:r>
      <w:r>
        <w:rPr>
          <w:rFonts w:hint="eastAsia" w:ascii="宋体" w:hAnsi="宋体" w:cs="宋体"/>
          <w:sz w:val="24"/>
          <w:szCs w:val="24"/>
        </w:rPr>
        <w:t>至</w:t>
      </w:r>
      <w:r>
        <w:rPr>
          <w:rFonts w:hint="eastAsia" w:ascii="宋体" w:hAnsi="宋体" w:cs="宋体"/>
          <w:sz w:val="24"/>
          <w:szCs w:val="24"/>
          <w:u w:val="single" w:color="000000"/>
        </w:rPr>
        <w:t xml:space="preserve"> 2021年</w:t>
      </w:r>
      <w:r>
        <w:rPr>
          <w:rFonts w:hint="eastAsia" w:ascii="宋体" w:hAnsi="宋体" w:cs="宋体"/>
          <w:sz w:val="24"/>
          <w:szCs w:val="24"/>
          <w:u w:val="single" w:color="000000"/>
          <w:lang w:val="en-US" w:eastAsia="zh-CN"/>
        </w:rPr>
        <w:t>11</w:t>
      </w:r>
      <w:r>
        <w:rPr>
          <w:rFonts w:hint="eastAsia" w:ascii="宋体" w:hAnsi="宋体" w:cs="宋体"/>
          <w:sz w:val="24"/>
          <w:szCs w:val="24"/>
          <w:u w:val="single" w:color="000000"/>
        </w:rPr>
        <w:t>月</w:t>
      </w:r>
      <w:r>
        <w:rPr>
          <w:rFonts w:hint="eastAsia" w:ascii="宋体" w:hAnsi="宋体" w:cs="宋体"/>
          <w:sz w:val="24"/>
          <w:szCs w:val="24"/>
          <w:u w:val="single" w:color="000000"/>
          <w:lang w:val="en-US" w:eastAsia="zh-CN"/>
        </w:rPr>
        <w:t>15</w:t>
      </w:r>
      <w:r>
        <w:rPr>
          <w:rFonts w:hint="eastAsia" w:ascii="宋体" w:hAnsi="宋体" w:cs="宋体"/>
          <w:sz w:val="24"/>
          <w:szCs w:val="24"/>
          <w:u w:val="single" w:color="000000"/>
        </w:rPr>
        <w:t>日</w:t>
      </w:r>
    </w:p>
    <w:p>
      <w:pPr>
        <w:keepNext w:val="0"/>
        <w:keepLines w:val="0"/>
        <w:pageBreakBefore w:val="0"/>
        <w:widowControl w:val="0"/>
        <w:kinsoku/>
        <w:wordWrap/>
        <w:overflowPunct/>
        <w:topLinePunct w:val="0"/>
        <w:bidi w:val="0"/>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地点：南通市公安局（http://gaj.nantong.gov.cn/）→法定主动公开内容→政府采购栏。</w:t>
      </w:r>
    </w:p>
    <w:p>
      <w:pPr>
        <w:keepNext w:val="0"/>
        <w:keepLines w:val="0"/>
        <w:pageBreakBefore w:val="0"/>
        <w:widowControl w:val="0"/>
        <w:kinsoku/>
        <w:wordWrap/>
        <w:overflowPunct/>
        <w:topLinePunct w:val="0"/>
        <w:bidi w:val="0"/>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方  式：自行下载</w:t>
      </w:r>
    </w:p>
    <w:p>
      <w:pPr>
        <w:keepNext w:val="0"/>
        <w:keepLines w:val="0"/>
        <w:pageBreakBefore w:val="0"/>
        <w:widowControl w:val="0"/>
        <w:kinsoku/>
        <w:wordWrap/>
        <w:overflowPunct/>
        <w:topLinePunct w:val="0"/>
        <w:bidi w:val="0"/>
        <w:snapToGrid w:val="0"/>
        <w:spacing w:line="360" w:lineRule="auto"/>
        <w:ind w:firstLine="540"/>
        <w:textAlignment w:val="baseline"/>
        <w:rPr>
          <w:rFonts w:ascii="宋体" w:hAnsi="宋体" w:cs="宋体"/>
          <w:sz w:val="24"/>
          <w:szCs w:val="24"/>
        </w:rPr>
      </w:pPr>
      <w:r>
        <w:rPr>
          <w:rFonts w:hint="eastAsia" w:ascii="宋体" w:hAnsi="宋体" w:cs="宋体"/>
          <w:sz w:val="24"/>
          <w:szCs w:val="24"/>
        </w:rPr>
        <w:t>售  价：每套300元，在递交磋商响应文件的同时提交给招标代理机构。</w:t>
      </w:r>
    </w:p>
    <w:p>
      <w:pPr>
        <w:pStyle w:val="6"/>
        <w:keepNext w:val="0"/>
        <w:keepLines w:val="0"/>
        <w:pageBreakBefore w:val="0"/>
        <w:widowControl w:val="0"/>
        <w:kinsoku/>
        <w:wordWrap/>
        <w:overflowPunct/>
        <w:topLinePunct w:val="0"/>
        <w:bidi w:val="0"/>
        <w:snapToGrid w:val="0"/>
        <w:spacing w:before="0" w:after="0" w:line="360" w:lineRule="auto"/>
        <w:rPr>
          <w:rFonts w:ascii="宋体" w:hAnsi="宋体" w:eastAsia="宋体" w:cs="宋体"/>
          <w:bCs/>
          <w:sz w:val="24"/>
          <w:szCs w:val="24"/>
        </w:rPr>
      </w:pPr>
      <w:r>
        <w:rPr>
          <w:rFonts w:hint="eastAsia" w:ascii="宋体" w:hAnsi="宋体" w:eastAsia="宋体" w:cs="宋体"/>
          <w:bCs/>
          <w:sz w:val="24"/>
          <w:szCs w:val="24"/>
        </w:rPr>
        <w:t>四、响应文件的提交</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bCs/>
          <w:sz w:val="24"/>
          <w:szCs w:val="24"/>
          <w:u w:val="single"/>
        </w:rPr>
      </w:pPr>
      <w:r>
        <w:rPr>
          <w:rFonts w:hint="eastAsia" w:ascii="宋体" w:hAnsi="宋体" w:cs="宋体"/>
          <w:sz w:val="24"/>
          <w:szCs w:val="24"/>
        </w:rPr>
        <w:t>截止时间：</w:t>
      </w:r>
      <w:r>
        <w:rPr>
          <w:rFonts w:hint="eastAsia" w:ascii="宋体" w:hAnsi="宋体" w:cs="宋体"/>
          <w:sz w:val="24"/>
          <w:szCs w:val="24"/>
          <w:u w:val="single" w:color="000000"/>
        </w:rPr>
        <w:t xml:space="preserve"> 2021</w:t>
      </w:r>
      <w:r>
        <w:rPr>
          <w:rFonts w:hint="eastAsia" w:ascii="宋体" w:hAnsi="宋体" w:cs="宋体"/>
          <w:bCs/>
          <w:sz w:val="24"/>
          <w:szCs w:val="24"/>
          <w:u w:val="single" w:color="000000"/>
        </w:rPr>
        <w:t>年</w:t>
      </w:r>
      <w:r>
        <w:rPr>
          <w:rFonts w:hint="eastAsia" w:ascii="宋体" w:hAnsi="宋体" w:cs="宋体"/>
          <w:bCs/>
          <w:sz w:val="24"/>
          <w:szCs w:val="24"/>
          <w:u w:val="single" w:color="000000"/>
          <w:lang w:val="en-US" w:eastAsia="zh-CN"/>
        </w:rPr>
        <w:t>11</w:t>
      </w:r>
      <w:r>
        <w:rPr>
          <w:rFonts w:hint="eastAsia" w:ascii="宋体" w:hAnsi="宋体" w:cs="宋体"/>
          <w:bCs/>
          <w:sz w:val="24"/>
          <w:szCs w:val="24"/>
          <w:u w:val="single" w:color="000000"/>
        </w:rPr>
        <w:t>月</w:t>
      </w:r>
      <w:r>
        <w:rPr>
          <w:rFonts w:hint="eastAsia" w:ascii="宋体" w:hAnsi="宋体" w:cs="宋体"/>
          <w:bCs/>
          <w:sz w:val="24"/>
          <w:szCs w:val="24"/>
          <w:u w:val="single" w:color="000000"/>
          <w:lang w:val="en-US" w:eastAsia="zh-CN"/>
        </w:rPr>
        <w:t>15</w:t>
      </w:r>
      <w:r>
        <w:rPr>
          <w:rFonts w:hint="eastAsia" w:ascii="宋体" w:hAnsi="宋体" w:cs="宋体"/>
          <w:bCs/>
          <w:sz w:val="24"/>
          <w:szCs w:val="24"/>
          <w:u w:val="single" w:color="000000"/>
        </w:rPr>
        <w:t>日</w:t>
      </w:r>
      <w:r>
        <w:rPr>
          <w:rFonts w:hint="eastAsia" w:ascii="宋体" w:hAnsi="宋体" w:cs="宋体"/>
          <w:bCs/>
          <w:sz w:val="24"/>
          <w:szCs w:val="24"/>
          <w:u w:val="single" w:color="000000"/>
          <w:lang w:val="en-US" w:eastAsia="zh-CN"/>
        </w:rPr>
        <w:t>14</w:t>
      </w:r>
      <w:r>
        <w:rPr>
          <w:rFonts w:hint="eastAsia" w:ascii="宋体" w:hAnsi="宋体" w:cs="宋体"/>
          <w:bCs/>
          <w:sz w:val="24"/>
          <w:szCs w:val="24"/>
          <w:u w:val="single" w:color="000000"/>
        </w:rPr>
        <w:t>点</w:t>
      </w:r>
      <w:r>
        <w:rPr>
          <w:rFonts w:hint="eastAsia" w:ascii="宋体" w:hAnsi="宋体" w:cs="宋体"/>
          <w:bCs/>
          <w:sz w:val="24"/>
          <w:szCs w:val="24"/>
          <w:u w:val="single" w:color="000000"/>
          <w:lang w:val="en-US" w:eastAsia="zh-CN"/>
        </w:rPr>
        <w:t>30</w:t>
      </w:r>
      <w:r>
        <w:rPr>
          <w:rFonts w:hint="eastAsia" w:ascii="宋体" w:hAnsi="宋体" w:cs="宋体"/>
          <w:bCs/>
          <w:sz w:val="24"/>
          <w:szCs w:val="24"/>
          <w:u w:val="single" w:color="000000"/>
        </w:rPr>
        <w:t>分</w:t>
      </w:r>
      <w:r>
        <w:rPr>
          <w:rFonts w:hint="eastAsia" w:ascii="宋体" w:hAnsi="宋体" w:cs="宋体"/>
          <w:bCs/>
          <w:sz w:val="24"/>
          <w:szCs w:val="24"/>
        </w:rPr>
        <w:t>（北京时间）</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点：</w:t>
      </w:r>
      <w:r>
        <w:rPr>
          <w:rFonts w:hint="eastAsia" w:ascii="宋体" w:hAnsi="宋体" w:cs="宋体"/>
          <w:sz w:val="24"/>
          <w:szCs w:val="24"/>
          <w:u w:val="single" w:color="000000"/>
        </w:rPr>
        <w:t>南通市青年西路198号（南通海关东），南通市公安局崇川分局1号楼2层西会议室</w:t>
      </w:r>
    </w:p>
    <w:p>
      <w:pPr>
        <w:pStyle w:val="6"/>
        <w:keepNext w:val="0"/>
        <w:keepLines w:val="0"/>
        <w:pageBreakBefore w:val="0"/>
        <w:widowControl w:val="0"/>
        <w:kinsoku/>
        <w:wordWrap/>
        <w:overflowPunct/>
        <w:topLinePunct w:val="0"/>
        <w:bidi w:val="0"/>
        <w:snapToGrid w:val="0"/>
        <w:spacing w:before="0" w:after="0" w:line="360" w:lineRule="auto"/>
        <w:rPr>
          <w:rFonts w:ascii="宋体" w:hAnsi="宋体" w:eastAsia="宋体" w:cs="宋体"/>
          <w:bCs/>
          <w:sz w:val="24"/>
          <w:szCs w:val="24"/>
        </w:rPr>
      </w:pPr>
      <w:r>
        <w:rPr>
          <w:rFonts w:hint="eastAsia" w:ascii="宋体" w:hAnsi="宋体" w:eastAsia="宋体" w:cs="宋体"/>
          <w:bCs/>
          <w:sz w:val="24"/>
          <w:szCs w:val="24"/>
        </w:rPr>
        <w:t>五、响应文件的开启</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bCs/>
          <w:sz w:val="24"/>
          <w:szCs w:val="24"/>
          <w:u w:val="single"/>
        </w:rPr>
      </w:pPr>
      <w:r>
        <w:rPr>
          <w:rFonts w:hint="eastAsia" w:ascii="宋体" w:hAnsi="宋体" w:cs="宋体"/>
          <w:sz w:val="24"/>
          <w:szCs w:val="24"/>
        </w:rPr>
        <w:t>时间：</w:t>
      </w:r>
      <w:r>
        <w:rPr>
          <w:rFonts w:hint="eastAsia" w:ascii="宋体" w:hAnsi="宋体" w:cs="宋体"/>
          <w:sz w:val="24"/>
          <w:szCs w:val="24"/>
          <w:u w:val="single" w:color="000000"/>
        </w:rPr>
        <w:t xml:space="preserve"> 2021</w:t>
      </w:r>
      <w:r>
        <w:rPr>
          <w:rFonts w:hint="eastAsia" w:ascii="宋体" w:hAnsi="宋体" w:cs="宋体"/>
          <w:bCs/>
          <w:sz w:val="24"/>
          <w:szCs w:val="24"/>
          <w:u w:val="single" w:color="000000"/>
        </w:rPr>
        <w:t>年</w:t>
      </w:r>
      <w:r>
        <w:rPr>
          <w:rFonts w:hint="eastAsia" w:ascii="宋体" w:hAnsi="宋体" w:cs="宋体"/>
          <w:bCs/>
          <w:sz w:val="24"/>
          <w:szCs w:val="24"/>
          <w:u w:val="single" w:color="000000"/>
          <w:lang w:val="en-US" w:eastAsia="zh-CN"/>
        </w:rPr>
        <w:t>11</w:t>
      </w:r>
      <w:r>
        <w:rPr>
          <w:rFonts w:hint="eastAsia" w:ascii="宋体" w:hAnsi="宋体" w:cs="宋体"/>
          <w:bCs/>
          <w:sz w:val="24"/>
          <w:szCs w:val="24"/>
          <w:u w:val="single" w:color="000000"/>
        </w:rPr>
        <w:t>月</w:t>
      </w:r>
      <w:r>
        <w:rPr>
          <w:rFonts w:hint="eastAsia" w:ascii="宋体" w:hAnsi="宋体" w:cs="宋体"/>
          <w:bCs/>
          <w:sz w:val="24"/>
          <w:szCs w:val="24"/>
          <w:u w:val="single" w:color="000000"/>
          <w:lang w:val="en-US" w:eastAsia="zh-CN"/>
        </w:rPr>
        <w:t>15</w:t>
      </w:r>
      <w:r>
        <w:rPr>
          <w:rFonts w:hint="eastAsia" w:ascii="宋体" w:hAnsi="宋体" w:cs="宋体"/>
          <w:bCs/>
          <w:sz w:val="24"/>
          <w:szCs w:val="24"/>
          <w:u w:val="single" w:color="000000"/>
        </w:rPr>
        <w:t>日</w:t>
      </w:r>
      <w:r>
        <w:rPr>
          <w:rFonts w:hint="eastAsia" w:ascii="宋体" w:hAnsi="宋体" w:cs="宋体"/>
          <w:bCs/>
          <w:sz w:val="24"/>
          <w:szCs w:val="24"/>
          <w:u w:val="single" w:color="000000"/>
          <w:lang w:val="en-US" w:eastAsia="zh-CN"/>
        </w:rPr>
        <w:t>14</w:t>
      </w:r>
      <w:r>
        <w:rPr>
          <w:rFonts w:hint="eastAsia" w:ascii="宋体" w:hAnsi="宋体" w:cs="宋体"/>
          <w:bCs/>
          <w:sz w:val="24"/>
          <w:szCs w:val="24"/>
          <w:u w:val="single" w:color="000000"/>
        </w:rPr>
        <w:t>点</w:t>
      </w:r>
      <w:r>
        <w:rPr>
          <w:rFonts w:hint="eastAsia" w:ascii="宋体" w:hAnsi="宋体" w:cs="宋体"/>
          <w:bCs/>
          <w:sz w:val="24"/>
          <w:szCs w:val="24"/>
          <w:u w:val="single" w:color="000000"/>
          <w:lang w:val="en-US" w:eastAsia="zh-CN"/>
        </w:rPr>
        <w:t>30</w:t>
      </w:r>
      <w:r>
        <w:rPr>
          <w:rFonts w:hint="eastAsia" w:ascii="宋体" w:hAnsi="宋体" w:cs="宋体"/>
          <w:bCs/>
          <w:sz w:val="24"/>
          <w:szCs w:val="24"/>
          <w:u w:val="single" w:color="000000"/>
        </w:rPr>
        <w:t>分</w:t>
      </w:r>
      <w:r>
        <w:rPr>
          <w:rFonts w:hint="eastAsia" w:ascii="宋体" w:hAnsi="宋体" w:cs="宋体"/>
          <w:bCs/>
          <w:sz w:val="24"/>
          <w:szCs w:val="24"/>
        </w:rPr>
        <w:t>（北京时间）</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hint="eastAsia" w:ascii="宋体" w:hAnsi="宋体" w:cs="宋体"/>
          <w:sz w:val="24"/>
          <w:szCs w:val="24"/>
          <w:u w:val="single" w:color="000000"/>
        </w:rPr>
      </w:pPr>
      <w:r>
        <w:rPr>
          <w:rFonts w:hint="eastAsia" w:ascii="宋体" w:hAnsi="宋体" w:cs="宋体"/>
          <w:sz w:val="24"/>
          <w:szCs w:val="24"/>
        </w:rPr>
        <w:t>地点：</w:t>
      </w:r>
      <w:r>
        <w:rPr>
          <w:rFonts w:hint="eastAsia" w:ascii="宋体" w:hAnsi="宋体" w:cs="宋体"/>
          <w:sz w:val="24"/>
          <w:szCs w:val="24"/>
          <w:u w:val="single" w:color="000000"/>
        </w:rPr>
        <w:t>南通市青年西路198号（南通海关东），南通市公安局崇川分局1号楼2层西会议室</w:t>
      </w:r>
    </w:p>
    <w:p>
      <w:pPr>
        <w:pStyle w:val="64"/>
        <w:keepNext w:val="0"/>
        <w:keepLines w:val="0"/>
        <w:pageBreakBefore w:val="0"/>
        <w:widowControl w:val="0"/>
        <w:kinsoku/>
        <w:wordWrap/>
        <w:overflowPunct/>
        <w:topLinePunct w:val="0"/>
        <w:bidi w:val="0"/>
        <w:adjustRightInd/>
        <w:snapToGrid w:val="0"/>
        <w:spacing w:line="360" w:lineRule="auto"/>
        <w:textAlignment w:val="auto"/>
      </w:pPr>
      <w:r>
        <w:rPr>
          <w:rFonts w:hint="eastAsia" w:ascii="宋体" w:hAnsi="宋体" w:eastAsia="宋体" w:cs="宋体"/>
          <w:b/>
          <w:color w:val="FF0000"/>
          <w:sz w:val="24"/>
          <w:szCs w:val="24"/>
        </w:rPr>
        <w:t>特别提醒：各投标单位只允许委派一人参加投标，其余人员一律不得入内。疫情防控期间，参加投标的授权委托人须配合现场工作人员的检查（包括携带有效身份证件、实名登记、规范佩戴口罩、测量体温、出示健康码和行程卡等）。</w:t>
      </w:r>
    </w:p>
    <w:p>
      <w:pPr>
        <w:pStyle w:val="6"/>
        <w:keepNext w:val="0"/>
        <w:keepLines w:val="0"/>
        <w:pageBreakBefore w:val="0"/>
        <w:widowControl w:val="0"/>
        <w:kinsoku/>
        <w:wordWrap/>
        <w:overflowPunct/>
        <w:topLinePunct w:val="0"/>
        <w:bidi w:val="0"/>
        <w:snapToGrid w:val="0"/>
        <w:spacing w:before="0" w:after="0" w:line="360" w:lineRule="auto"/>
        <w:rPr>
          <w:rFonts w:ascii="宋体" w:hAnsi="宋体" w:eastAsia="宋体" w:cs="宋体"/>
          <w:bCs/>
          <w:sz w:val="24"/>
          <w:szCs w:val="24"/>
        </w:rPr>
      </w:pPr>
      <w:r>
        <w:rPr>
          <w:rFonts w:hint="eastAsia" w:ascii="宋体" w:hAnsi="宋体" w:eastAsia="宋体" w:cs="宋体"/>
          <w:bCs/>
          <w:sz w:val="24"/>
          <w:szCs w:val="24"/>
        </w:rPr>
        <w:t>六、公告期限</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自本公告发布之日起3个工作日。</w:t>
      </w:r>
    </w:p>
    <w:p>
      <w:pPr>
        <w:pStyle w:val="6"/>
        <w:keepNext w:val="0"/>
        <w:keepLines w:val="0"/>
        <w:pageBreakBefore w:val="0"/>
        <w:widowControl w:val="0"/>
        <w:numPr>
          <w:ilvl w:val="0"/>
          <w:numId w:val="3"/>
        </w:numPr>
        <w:kinsoku/>
        <w:wordWrap/>
        <w:overflowPunct/>
        <w:topLinePunct w:val="0"/>
        <w:bidi w:val="0"/>
        <w:snapToGrid w:val="0"/>
        <w:spacing w:before="0" w:after="0" w:line="360" w:lineRule="auto"/>
        <w:rPr>
          <w:rFonts w:ascii="宋体" w:hAnsi="宋体" w:eastAsia="宋体" w:cs="宋体"/>
          <w:bCs/>
          <w:sz w:val="24"/>
          <w:szCs w:val="24"/>
        </w:rPr>
      </w:pPr>
      <w:r>
        <w:rPr>
          <w:rFonts w:hint="eastAsia" w:ascii="宋体" w:hAnsi="宋体" w:eastAsia="宋体" w:cs="宋体"/>
          <w:bCs/>
          <w:sz w:val="24"/>
          <w:szCs w:val="24"/>
        </w:rPr>
        <w:t>其他补充事宜：</w:t>
      </w:r>
    </w:p>
    <w:p>
      <w:pPr>
        <w:keepNext w:val="0"/>
        <w:keepLines w:val="0"/>
        <w:pageBreakBefore w:val="0"/>
        <w:widowControl w:val="0"/>
        <w:numPr>
          <w:ilvl w:val="0"/>
          <w:numId w:val="4"/>
        </w:numPr>
        <w:kinsoku/>
        <w:wordWrap/>
        <w:overflowPunct/>
        <w:topLinePunct w:val="0"/>
        <w:bidi w:val="0"/>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keepNext w:val="0"/>
        <w:keepLines w:val="0"/>
        <w:pageBreakBefore w:val="0"/>
        <w:widowControl w:val="0"/>
        <w:numPr>
          <w:ilvl w:val="0"/>
          <w:numId w:val="4"/>
        </w:numPr>
        <w:kinsoku/>
        <w:wordWrap/>
        <w:overflowPunct/>
        <w:topLinePunct w:val="0"/>
        <w:bidi w:val="0"/>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项目磋商活动模式：本项目采用现场开标模式。</w:t>
      </w:r>
    </w:p>
    <w:p>
      <w:pPr>
        <w:keepNext w:val="0"/>
        <w:keepLines w:val="0"/>
        <w:pageBreakBefore w:val="0"/>
        <w:widowControl w:val="0"/>
        <w:numPr>
          <w:ilvl w:val="0"/>
          <w:numId w:val="4"/>
        </w:numPr>
        <w:kinsoku/>
        <w:wordWrap/>
        <w:overflowPunct/>
        <w:topLinePunct w:val="0"/>
        <w:bidi w:val="0"/>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keepNext w:val="0"/>
        <w:keepLines w:val="0"/>
        <w:pageBreakBefore w:val="0"/>
        <w:widowControl w:val="0"/>
        <w:numPr>
          <w:ilvl w:val="0"/>
          <w:numId w:val="3"/>
        </w:numPr>
        <w:kinsoku/>
        <w:wordWrap/>
        <w:overflowPunct/>
        <w:topLinePunct w:val="0"/>
        <w:bidi w:val="0"/>
        <w:snapToGrid w:val="0"/>
        <w:spacing w:line="360" w:lineRule="auto"/>
        <w:textAlignment w:val="baseline"/>
        <w:rPr>
          <w:rFonts w:ascii="宋体" w:hAnsi="宋体" w:cs="宋体"/>
          <w:b/>
          <w:bCs/>
          <w:sz w:val="24"/>
          <w:szCs w:val="24"/>
        </w:rPr>
      </w:pPr>
      <w:r>
        <w:rPr>
          <w:rFonts w:hint="eastAsia" w:ascii="宋体" w:hAnsi="宋体" w:cs="宋体"/>
          <w:b/>
          <w:bCs/>
          <w:sz w:val="24"/>
          <w:szCs w:val="24"/>
        </w:rPr>
        <w:t>凡对本次采购提出询问，请按以下方式联系。</w:t>
      </w:r>
    </w:p>
    <w:p>
      <w:pPr>
        <w:keepNext w:val="0"/>
        <w:keepLines w:val="0"/>
        <w:pageBreakBefore w:val="0"/>
        <w:widowControl w:val="0"/>
        <w:numPr>
          <w:ilvl w:val="0"/>
          <w:numId w:val="5"/>
        </w:numPr>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采购人信息</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名    称：南通市公安局崇川分局</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址：南通市青年西路198号</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联系方式：13306290886</w:t>
      </w:r>
    </w:p>
    <w:p>
      <w:pPr>
        <w:keepNext w:val="0"/>
        <w:keepLines w:val="0"/>
        <w:pageBreakBefore w:val="0"/>
        <w:widowControl w:val="0"/>
        <w:numPr>
          <w:ilvl w:val="0"/>
          <w:numId w:val="6"/>
        </w:numPr>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采购代理机构信息</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名    称：南通万隆工程管理有限公司</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址：南通市崇川路58号南通产业技术研究院9号楼24层</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val="en-US" w:eastAsia="zh-CN"/>
        </w:rPr>
        <w:t>杜女士</w:t>
      </w:r>
      <w:r>
        <w:rPr>
          <w:rFonts w:hint="eastAsia" w:ascii="宋体" w:hAnsi="宋体" w:cs="宋体"/>
          <w:sz w:val="24"/>
          <w:szCs w:val="24"/>
        </w:rPr>
        <w:t xml:space="preserve"> 13773640999</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3、项目联系方式</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项目联系人：陈警官</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电      话：13306290886</w:t>
      </w:r>
    </w:p>
    <w:p>
      <w:pPr>
        <w:pStyle w:val="2"/>
        <w:keepNext w:val="0"/>
        <w:keepLines w:val="0"/>
        <w:pageBreakBefore w:val="0"/>
        <w:widowControl w:val="0"/>
        <w:kinsoku/>
        <w:wordWrap/>
        <w:overflowPunct/>
        <w:topLinePunct w:val="0"/>
        <w:bidi w:val="0"/>
        <w:snapToGrid w:val="0"/>
        <w:spacing w:after="0" w:line="360" w:lineRule="auto"/>
        <w:ind w:firstLine="6480" w:firstLineChars="2700"/>
        <w:textAlignment w:val="baseline"/>
        <w:rPr>
          <w:rFonts w:ascii="宋体" w:hAnsi="宋体" w:cs="宋体"/>
          <w:sz w:val="21"/>
          <w:szCs w:val="24"/>
        </w:rPr>
      </w:pPr>
      <w:r>
        <w:rPr>
          <w:rFonts w:hint="eastAsia" w:ascii="宋体" w:hAnsi="宋体" w:cs="宋体"/>
          <w:szCs w:val="24"/>
        </w:rPr>
        <w:t>二0二一年十</w:t>
      </w:r>
      <w:r>
        <w:rPr>
          <w:rFonts w:hint="eastAsia" w:ascii="宋体" w:hAnsi="宋体" w:cs="宋体"/>
          <w:szCs w:val="24"/>
          <w:lang w:val="en-US" w:eastAsia="zh-CN"/>
        </w:rPr>
        <w:t>一</w:t>
      </w:r>
      <w:r>
        <w:rPr>
          <w:rFonts w:hint="eastAsia" w:ascii="宋体" w:hAnsi="宋体" w:cs="宋体"/>
          <w:szCs w:val="24"/>
        </w:rPr>
        <w:t>月</w:t>
      </w:r>
      <w:r>
        <w:rPr>
          <w:rFonts w:hint="eastAsia" w:ascii="宋体" w:hAnsi="宋体" w:cs="宋体"/>
          <w:szCs w:val="24"/>
          <w:lang w:val="en-US" w:eastAsia="zh-CN"/>
        </w:rPr>
        <w:t>一</w:t>
      </w:r>
      <w:r>
        <w:rPr>
          <w:rFonts w:hint="eastAsia" w:ascii="宋体" w:hAnsi="宋体" w:cs="宋体"/>
          <w:szCs w:val="24"/>
        </w:rPr>
        <w:t>日</w:t>
      </w:r>
    </w:p>
    <w:p>
      <w:pPr>
        <w:snapToGrid w:val="0"/>
        <w:textAlignment w:val="baseline"/>
        <w:rPr>
          <w:rFonts w:ascii="宋体" w:hAnsi="宋体" w:cs="宋体"/>
          <w:b/>
          <w:color w:val="000000"/>
          <w:w w:val="80"/>
          <w:sz w:val="44"/>
          <w:szCs w:val="44"/>
        </w:rPr>
      </w:pPr>
      <w:r>
        <w:rPr>
          <w:rFonts w:hint="eastAsia" w:ascii="宋体" w:hAnsi="宋体" w:cs="宋体"/>
          <w:b/>
          <w:color w:val="000000"/>
          <w:w w:val="80"/>
          <w:sz w:val="44"/>
          <w:szCs w:val="44"/>
        </w:rPr>
        <w:br w:type="page"/>
      </w:r>
    </w:p>
    <w:p>
      <w:pPr>
        <w:snapToGrid w:val="0"/>
        <w:spacing w:line="360" w:lineRule="auto"/>
        <w:jc w:val="center"/>
        <w:textAlignment w:val="baseline"/>
        <w:rPr>
          <w:rFonts w:ascii="宋体" w:hAnsi="宋体" w:cs="宋体"/>
          <w:b/>
          <w:color w:val="000000"/>
          <w:w w:val="80"/>
          <w:sz w:val="44"/>
          <w:szCs w:val="44"/>
        </w:rPr>
      </w:pPr>
      <w:r>
        <w:rPr>
          <w:rFonts w:hint="eastAsia" w:ascii="宋体" w:hAnsi="宋体" w:cs="宋体"/>
          <w:b/>
          <w:color w:val="000000"/>
          <w:w w:val="80"/>
          <w:sz w:val="44"/>
          <w:szCs w:val="44"/>
        </w:rPr>
        <w:t xml:space="preserve">第二章  </w:t>
      </w:r>
      <w:bookmarkEnd w:id="11"/>
      <w:bookmarkEnd w:id="12"/>
      <w:bookmarkEnd w:id="13"/>
      <w:bookmarkEnd w:id="14"/>
      <w:bookmarkEnd w:id="15"/>
      <w:bookmarkEnd w:id="16"/>
      <w:bookmarkEnd w:id="17"/>
      <w:bookmarkEnd w:id="18"/>
      <w:bookmarkEnd w:id="19"/>
      <w:bookmarkEnd w:id="20"/>
      <w:r>
        <w:rPr>
          <w:rFonts w:hint="eastAsia" w:ascii="宋体" w:hAnsi="宋体" w:cs="宋体"/>
          <w:b/>
          <w:color w:val="000000"/>
          <w:w w:val="80"/>
          <w:sz w:val="44"/>
          <w:szCs w:val="44"/>
        </w:rPr>
        <w:t>磋商供应商须知</w:t>
      </w:r>
      <w:bookmarkEnd w:id="21"/>
    </w:p>
    <w:p>
      <w:pPr>
        <w:pStyle w:val="2"/>
        <w:snapToGrid w:val="0"/>
        <w:textAlignment w:val="baseline"/>
        <w:rPr>
          <w:sz w:val="21"/>
        </w:rPr>
      </w:pPr>
    </w:p>
    <w:p>
      <w:pPr>
        <w:snapToGrid w:val="0"/>
        <w:spacing w:line="360" w:lineRule="auto"/>
        <w:ind w:firstLine="480" w:firstLineChars="200"/>
        <w:textAlignment w:val="baseline"/>
        <w:rPr>
          <w:rFonts w:ascii="宋体" w:hAnsi="宋体" w:cs="宋体"/>
          <w:b/>
          <w:bCs/>
          <w:color w:val="000000"/>
          <w:sz w:val="24"/>
          <w:szCs w:val="24"/>
        </w:rPr>
      </w:pPr>
      <w:bookmarkStart w:id="22" w:name="_Toc11554640"/>
      <w:bookmarkStart w:id="23" w:name="_Toc521203419"/>
      <w:bookmarkStart w:id="24" w:name="_Toc94544871"/>
      <w:bookmarkStart w:id="25" w:name="_Toc94544745"/>
      <w:bookmarkStart w:id="26" w:name="_Toc11500281"/>
      <w:bookmarkStart w:id="27" w:name="_Toc11499585"/>
      <w:bookmarkStart w:id="28" w:name="_Toc94585341"/>
      <w:bookmarkStart w:id="29" w:name="_Toc12670504"/>
      <w:bookmarkStart w:id="30" w:name="_Toc521201598"/>
      <w:bookmarkStart w:id="31" w:name="_Toc8895740"/>
      <w:r>
        <w:rPr>
          <w:rFonts w:hint="eastAsia" w:ascii="宋体" w:hAnsi="宋体" w:cs="宋体"/>
          <w:b/>
          <w:bCs/>
          <w:color w:val="000000"/>
          <w:sz w:val="24"/>
          <w:szCs w:val="24"/>
        </w:rPr>
        <w:t>一、说明</w:t>
      </w:r>
    </w:p>
    <w:p>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1、本竞争性磋商文件仅适用于南通万隆工程管理有限公司组织的竞争性磋商采购活动。</w:t>
      </w:r>
    </w:p>
    <w:p>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2、竞争性磋商活动及因本次磋商产生的合同受中国法律制约和保护。</w:t>
      </w:r>
    </w:p>
    <w:p>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3、竞争性磋商文件的解释权属于采购人。</w:t>
      </w:r>
    </w:p>
    <w:p>
      <w:pPr>
        <w:snapToGrid w:val="0"/>
        <w:spacing w:line="360" w:lineRule="auto"/>
        <w:ind w:firstLine="480" w:firstLineChars="200"/>
        <w:textAlignment w:val="baseline"/>
        <w:rPr>
          <w:rFonts w:ascii="宋体" w:hAnsi="宋体" w:cs="宋体"/>
          <w:color w:val="FF00FF"/>
          <w:sz w:val="24"/>
          <w:szCs w:val="24"/>
        </w:rPr>
      </w:pPr>
      <w:r>
        <w:rPr>
          <w:rFonts w:hint="eastAsia" w:ascii="宋体" w:hAnsi="宋体" w:cs="宋体"/>
          <w:color w:val="000000"/>
          <w:sz w:val="24"/>
          <w:szCs w:val="24"/>
        </w:rPr>
        <w:t>4、供应商</w:t>
      </w:r>
      <w:r>
        <w:rPr>
          <w:rFonts w:hint="eastAsia" w:ascii="宋体" w:hAnsi="宋体" w:cs="宋体"/>
          <w:sz w:val="24"/>
          <w:szCs w:val="24"/>
        </w:rPr>
        <w:t>下载</w:t>
      </w:r>
      <w:r>
        <w:rPr>
          <w:rFonts w:hint="eastAsia" w:ascii="宋体" w:hAnsi="宋体" w:cs="宋体"/>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hint="eastAsia" w:ascii="宋体" w:hAnsi="宋体" w:cs="宋体"/>
          <w:sz w:val="24"/>
          <w:szCs w:val="24"/>
        </w:rPr>
        <w:t>后的4日内，</w:t>
      </w:r>
      <w:r>
        <w:rPr>
          <w:rFonts w:hint="eastAsia" w:ascii="宋体" w:hAnsi="宋体" w:cs="宋体"/>
          <w:color w:val="000000"/>
          <w:sz w:val="24"/>
          <w:szCs w:val="24"/>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color w:val="000000"/>
          <w:sz w:val="24"/>
          <w:szCs w:val="24"/>
        </w:rPr>
        <w:t>非书面形式的不作为日后质疑提出的依据。</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textAlignment w:val="baseline"/>
        <w:rPr>
          <w:sz w:val="20"/>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0" w:firstLineChars="200"/>
        <w:textAlignment w:val="baseline"/>
        <w:rPr>
          <w:rFonts w:ascii="宋体" w:hAnsi="宋体" w:cs="宋体"/>
          <w:b/>
          <w:color w:val="000000"/>
          <w:sz w:val="24"/>
          <w:szCs w:val="24"/>
        </w:rPr>
      </w:pPr>
      <w:r>
        <w:rPr>
          <w:rFonts w:hint="eastAsia" w:ascii="宋体" w:hAnsi="宋体" w:cs="宋体"/>
          <w:b/>
          <w:color w:val="000000"/>
          <w:sz w:val="24"/>
          <w:szCs w:val="24"/>
        </w:rPr>
        <w:t>二、磋商文件的澄清、修改、答疑</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1、代理机构有权对发出的磋商文件进行必要的澄清、修改或补充。</w:t>
      </w:r>
    </w:p>
    <w:p>
      <w:pPr>
        <w:snapToGrid w:val="0"/>
        <w:spacing w:line="360" w:lineRule="auto"/>
        <w:ind w:firstLine="480" w:firstLineChars="200"/>
        <w:jc w:val="left"/>
        <w:textAlignment w:val="baseline"/>
        <w:rPr>
          <w:rFonts w:ascii="宋体" w:hAnsi="宋体" w:cs="宋体"/>
          <w:sz w:val="24"/>
          <w:szCs w:val="24"/>
        </w:rPr>
      </w:pPr>
      <w:r>
        <w:rPr>
          <w:rFonts w:hint="eastAsia" w:ascii="宋体" w:hAnsi="宋体" w:cs="宋体"/>
          <w:sz w:val="24"/>
          <w:szCs w:val="24"/>
        </w:rPr>
        <w:t>2、磋商文件的澄清、修改、补充等内容均以书面明确的形式发布，并以“南通市公安局（http://gaj.nantong.gov.cn/）→法定主动公开内容→政府采购”栏发布的信息为准。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3、代理机构对磋商文件的澄清、修改将构成磋商文件的一部分，对响应磋商的供应商具有约束力。</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4、澄清或者修改的内容可能影响到响应文件编制的，代理机构将在提交响应文件接收截止之日5日前，发布澄清或者修改公告，不足5日的，当顺延提交响应文件接收截止时间。</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6、采购人视情况组织答疑会。如有产生答疑且对磋商文件内容有修改，代理机构将按照本须知有关规定，以补充通知（公告）的方式发出。</w:t>
      </w:r>
    </w:p>
    <w:p>
      <w:pPr>
        <w:snapToGrid w:val="0"/>
        <w:spacing w:line="360" w:lineRule="auto"/>
        <w:ind w:firstLine="484" w:firstLineChars="202"/>
        <w:textAlignment w:val="baseline"/>
        <w:rPr>
          <w:rFonts w:ascii="宋体" w:hAnsi="宋体" w:cs="宋体"/>
          <w:b/>
          <w:color w:val="000000"/>
          <w:sz w:val="24"/>
          <w:szCs w:val="24"/>
        </w:rPr>
      </w:pPr>
      <w:r>
        <w:rPr>
          <w:rFonts w:hint="eastAsia" w:ascii="宋体" w:hAnsi="宋体" w:cs="宋体"/>
          <w:b/>
          <w:color w:val="000000"/>
          <w:sz w:val="24"/>
          <w:szCs w:val="24"/>
        </w:rPr>
        <w:t>三、响应文件的编制及装订</w:t>
      </w:r>
    </w:p>
    <w:p>
      <w:pPr>
        <w:snapToGrid w:val="0"/>
        <w:spacing w:line="360" w:lineRule="auto"/>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供应</w:t>
      </w:r>
      <w:r>
        <w:rPr>
          <w:rFonts w:hint="eastAsia" w:ascii="宋体" w:hAnsi="宋体" w:cs="宋体"/>
          <w:sz w:val="24"/>
          <w:szCs w:val="24"/>
        </w:rPr>
        <w:t>商按磋商文件要求编写响应文件，并牢固装订成册。</w:t>
      </w:r>
      <w:r>
        <w:rPr>
          <w:rFonts w:hint="eastAsia" w:ascii="宋体" w:hAnsi="宋体" w:cs="宋体"/>
          <w:b/>
          <w:sz w:val="24"/>
          <w:szCs w:val="24"/>
        </w:rPr>
        <w:t>响应文件均需采用A4纸（图纸等除外）</w:t>
      </w:r>
      <w:r>
        <w:rPr>
          <w:rFonts w:hint="eastAsia" w:ascii="宋体" w:hAnsi="宋体" w:cs="宋体"/>
          <w:sz w:val="24"/>
          <w:szCs w:val="24"/>
        </w:rPr>
        <w:t>，不允许使用活页夹、拉杆夹、文件夹、塑料方便式书脊（插入式或穿孔式）装订。响应文件不得行间插字、涂改、增删，如修改错漏处，须经响应文件签署人签字并加</w:t>
      </w:r>
      <w:r>
        <w:rPr>
          <w:rFonts w:hint="eastAsia" w:ascii="宋体" w:hAnsi="宋体" w:cs="宋体"/>
          <w:color w:val="000000"/>
          <w:sz w:val="24"/>
          <w:szCs w:val="24"/>
        </w:rPr>
        <w:t>盖公章。</w:t>
      </w:r>
    </w:p>
    <w:p>
      <w:pPr>
        <w:snapToGrid w:val="0"/>
        <w:spacing w:line="360" w:lineRule="auto"/>
        <w:ind w:firstLine="480" w:firstLineChars="200"/>
        <w:textAlignment w:val="baseline"/>
        <w:rPr>
          <w:rFonts w:ascii="宋体" w:hAnsi="宋体" w:cs="宋体"/>
          <w:b/>
          <w:bCs/>
          <w:color w:val="000000"/>
          <w:sz w:val="24"/>
          <w:szCs w:val="24"/>
        </w:rPr>
      </w:pPr>
      <w:r>
        <w:rPr>
          <w:rFonts w:hint="eastAsia" w:ascii="宋体" w:hAnsi="宋体" w:cs="宋体"/>
          <w:b/>
          <w:bCs/>
          <w:sz w:val="24"/>
          <w:szCs w:val="24"/>
        </w:rPr>
        <w:t>四、</w:t>
      </w:r>
      <w:r>
        <w:rPr>
          <w:rFonts w:hint="eastAsia" w:ascii="宋体" w:hAnsi="宋体" w:cs="宋体"/>
          <w:b/>
          <w:bCs/>
          <w:color w:val="000000"/>
          <w:sz w:val="24"/>
          <w:szCs w:val="24"/>
        </w:rPr>
        <w:t>响应文件的份数和签署</w:t>
      </w:r>
    </w:p>
    <w:p>
      <w:pPr>
        <w:snapToGrid w:val="0"/>
        <w:spacing w:line="360" w:lineRule="auto"/>
        <w:ind w:firstLine="484" w:firstLineChars="202"/>
        <w:textAlignment w:val="baseline"/>
        <w:rPr>
          <w:rFonts w:ascii="宋体" w:hAnsi="宋体"/>
          <w:sz w:val="24"/>
        </w:rPr>
      </w:pPr>
      <w:r>
        <w:rPr>
          <w:rFonts w:hint="eastAsia" w:ascii="宋体" w:hAnsi="宋体" w:cs="宋体"/>
          <w:sz w:val="24"/>
          <w:szCs w:val="24"/>
        </w:rPr>
        <w:t>1、响应文件由：</w:t>
      </w:r>
      <w:r>
        <w:rPr>
          <w:sz w:val="20"/>
        </w:rPr>
        <w:fldChar w:fldCharType="begin"/>
      </w:r>
      <w:r>
        <w:rPr>
          <w:sz w:val="20"/>
        </w:rPr>
        <w:instrText xml:space="preserve"> = 1 \* GB3 </w:instrText>
      </w:r>
      <w:r>
        <w:rPr>
          <w:sz w:val="20"/>
        </w:rPr>
        <w:fldChar w:fldCharType="separate"/>
      </w:r>
      <w:r>
        <w:rPr>
          <w:rFonts w:hint="eastAsia" w:ascii="宋体" w:hAnsi="宋体" w:cs="宋体"/>
          <w:sz w:val="24"/>
          <w:szCs w:val="24"/>
        </w:rPr>
        <w:t>①</w:t>
      </w:r>
      <w:r>
        <w:rPr>
          <w:sz w:val="20"/>
        </w:rPr>
        <w:fldChar w:fldCharType="end"/>
      </w:r>
      <w:r>
        <w:rPr>
          <w:rFonts w:hint="eastAsia" w:ascii="宋体" w:hAnsi="宋体" w:cs="宋体"/>
          <w:sz w:val="24"/>
          <w:szCs w:val="24"/>
        </w:rPr>
        <w:t>资格审查文件、</w:t>
      </w:r>
      <w:r>
        <w:rPr>
          <w:sz w:val="20"/>
        </w:rPr>
        <w:fldChar w:fldCharType="begin"/>
      </w:r>
      <w:r>
        <w:rPr>
          <w:sz w:val="20"/>
        </w:rPr>
        <w:instrText xml:space="preserve"> = 2 \* GB3 </w:instrText>
      </w:r>
      <w:r>
        <w:rPr>
          <w:sz w:val="20"/>
        </w:rPr>
        <w:fldChar w:fldCharType="separate"/>
      </w:r>
      <w:r>
        <w:rPr>
          <w:rFonts w:hint="eastAsia" w:ascii="宋体" w:hAnsi="宋体" w:cs="宋体"/>
          <w:sz w:val="24"/>
          <w:szCs w:val="24"/>
        </w:rPr>
        <w:t>②</w:t>
      </w:r>
      <w:r>
        <w:rPr>
          <w:sz w:val="20"/>
        </w:rPr>
        <w:fldChar w:fldCharType="end"/>
      </w:r>
      <w:r>
        <w:rPr>
          <w:rFonts w:hint="eastAsia" w:ascii="宋体" w:hAnsi="宋体" w:cs="宋体"/>
          <w:sz w:val="24"/>
          <w:szCs w:val="24"/>
        </w:rPr>
        <w:t>技术响应文件、</w:t>
      </w:r>
      <w:r>
        <w:rPr>
          <w:sz w:val="20"/>
        </w:rPr>
        <w:fldChar w:fldCharType="begin"/>
      </w:r>
      <w:r>
        <w:rPr>
          <w:sz w:val="20"/>
        </w:rPr>
        <w:instrText xml:space="preserve"> = 3 \* GB3 </w:instrText>
      </w:r>
      <w:r>
        <w:rPr>
          <w:sz w:val="20"/>
        </w:rPr>
        <w:fldChar w:fldCharType="separate"/>
      </w:r>
      <w:r>
        <w:rPr>
          <w:rFonts w:hint="eastAsia" w:ascii="宋体" w:hAnsi="宋体" w:cs="宋体"/>
          <w:sz w:val="24"/>
          <w:szCs w:val="24"/>
        </w:rPr>
        <w:t>③</w:t>
      </w:r>
      <w:r>
        <w:rPr>
          <w:sz w:val="20"/>
        </w:rPr>
        <w:fldChar w:fldCharType="end"/>
      </w:r>
      <w:r>
        <w:rPr>
          <w:rFonts w:hint="eastAsia" w:ascii="宋体" w:hAnsi="宋体" w:cs="宋体"/>
          <w:sz w:val="24"/>
          <w:szCs w:val="24"/>
        </w:rPr>
        <w:t>商务报价响应文件，共3部分组成。</w:t>
      </w:r>
      <w:r>
        <w:rPr>
          <w:rFonts w:hint="eastAsia" w:ascii="宋体" w:hAnsi="宋体" w:cs="宋体"/>
          <w:b/>
          <w:bCs/>
          <w:color w:val="000000"/>
          <w:sz w:val="24"/>
          <w:szCs w:val="24"/>
        </w:rPr>
        <w:t>其中资格审查文件、技术响应文件、商务报价响应文件须分别密封。</w:t>
      </w:r>
      <w:r>
        <w:rPr>
          <w:rFonts w:hint="eastAsia" w:ascii="宋体" w:hAnsi="宋体"/>
          <w:b/>
          <w:sz w:val="24"/>
        </w:rPr>
        <w:t>特别提示：“商务报价响应文件”必须单独装订和封装，不得出现在“资格审查文件”和“技术响应文件”之中。</w:t>
      </w:r>
    </w:p>
    <w:p>
      <w:pPr>
        <w:snapToGrid w:val="0"/>
        <w:spacing w:line="360" w:lineRule="auto"/>
        <w:ind w:firstLine="480" w:firstLineChars="200"/>
        <w:textAlignment w:val="baseline"/>
        <w:rPr>
          <w:rFonts w:ascii="宋体" w:hAnsi="宋体" w:cs="宋体"/>
          <w:b/>
          <w:bCs/>
          <w:sz w:val="24"/>
          <w:szCs w:val="24"/>
          <w:u w:val="single"/>
        </w:rPr>
      </w:pPr>
      <w:r>
        <w:rPr>
          <w:rFonts w:hint="eastAsia" w:ascii="宋体" w:hAnsi="宋体" w:cs="宋体"/>
          <w:b/>
          <w:bCs/>
          <w:sz w:val="24"/>
          <w:szCs w:val="24"/>
        </w:rPr>
        <w:t>2、响应文件均为一式叁份，其中“正本”壹份和“副本”贰份。</w:t>
      </w:r>
    </w:p>
    <w:p>
      <w:pPr>
        <w:snapToGrid w:val="0"/>
        <w:spacing w:line="360" w:lineRule="auto"/>
        <w:ind w:firstLine="470" w:firstLineChars="196"/>
        <w:textAlignment w:val="baseline"/>
        <w:rPr>
          <w:rFonts w:ascii="宋体" w:hAnsi="宋体" w:cs="宋体"/>
          <w:b/>
          <w:bCs/>
          <w:color w:val="0000FF"/>
          <w:sz w:val="24"/>
          <w:szCs w:val="24"/>
        </w:rPr>
      </w:pPr>
      <w:r>
        <w:rPr>
          <w:rFonts w:hint="eastAsia" w:ascii="宋体" w:hAnsi="宋体" w:cs="宋体"/>
          <w:b/>
          <w:bCs/>
          <w:sz w:val="24"/>
          <w:szCs w:val="24"/>
        </w:rPr>
        <w:t>3、在每份响应文件上要明确标注项目名称、项目编号、对应的响应文件名称、供应商的全称、日期、“正本”、“副本”字样。“正本”和“副本”若有差异，概以“正本”为准。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textAlignment w:val="baseline"/>
        <w:rPr>
          <w:rFonts w:ascii="宋体" w:hAnsi="宋体" w:cs="宋体"/>
          <w:b/>
          <w:bCs/>
          <w:sz w:val="24"/>
          <w:szCs w:val="24"/>
        </w:rPr>
      </w:pPr>
      <w:r>
        <w:rPr>
          <w:rFonts w:hint="eastAsia" w:ascii="宋体" w:hAnsi="宋体" w:cs="宋体"/>
          <w:b/>
          <w:bCs/>
          <w:sz w:val="24"/>
          <w:szCs w:val="24"/>
        </w:rPr>
        <w:t>4、供应商可将响应文件正副本统一密封或分别密封，如正本和副本分别密封的，应在封袋上标明正、副本字样。</w:t>
      </w:r>
    </w:p>
    <w:p>
      <w:pPr>
        <w:snapToGrid w:val="0"/>
        <w:spacing w:line="360" w:lineRule="auto"/>
        <w:ind w:firstLine="470" w:firstLineChars="196"/>
        <w:textAlignment w:val="baseline"/>
        <w:rPr>
          <w:rFonts w:ascii="宋体" w:hAnsi="宋体" w:cs="宋体"/>
          <w:b/>
          <w:bCs/>
          <w:sz w:val="24"/>
          <w:szCs w:val="24"/>
        </w:rPr>
      </w:pPr>
      <w:r>
        <w:rPr>
          <w:rFonts w:hint="eastAsia" w:ascii="宋体" w:hAnsi="宋体" w:cs="宋体"/>
          <w:b/>
          <w:bCs/>
          <w:sz w:val="24"/>
          <w:szCs w:val="24"/>
        </w:rPr>
        <w:t>5、响应文件中的所有“正本”，其正文内容须按磋商文件要求由供应商法定代表人或被授权人签字（或盖章）并加盖单位公章。“副本”可复印，但须加盖单位公章。</w:t>
      </w:r>
    </w:p>
    <w:p>
      <w:pPr>
        <w:snapToGrid w:val="0"/>
        <w:spacing w:line="360" w:lineRule="auto"/>
        <w:ind w:firstLine="470" w:firstLineChars="196"/>
        <w:textAlignment w:val="baseline"/>
        <w:rPr>
          <w:rFonts w:ascii="宋体" w:hAnsi="宋体" w:cs="宋体"/>
          <w:b/>
          <w:bCs/>
          <w:sz w:val="24"/>
          <w:szCs w:val="24"/>
        </w:rPr>
      </w:pPr>
      <w:r>
        <w:rPr>
          <w:rFonts w:hint="eastAsia" w:ascii="宋体" w:hAnsi="宋体" w:cs="宋体"/>
          <w:b/>
          <w:bCs/>
          <w:color w:val="000000"/>
          <w:sz w:val="24"/>
          <w:szCs w:val="24"/>
        </w:rPr>
        <w:t>五、</w:t>
      </w:r>
      <w:r>
        <w:rPr>
          <w:rFonts w:hint="eastAsia" w:ascii="宋体" w:hAnsi="宋体" w:cs="宋体"/>
          <w:b/>
          <w:bCs/>
          <w:sz w:val="24"/>
          <w:szCs w:val="24"/>
        </w:rPr>
        <w:t>响应文件的密封及标记</w:t>
      </w:r>
    </w:p>
    <w:p>
      <w:pPr>
        <w:snapToGrid w:val="0"/>
        <w:spacing w:line="360" w:lineRule="auto"/>
        <w:ind w:firstLine="480" w:firstLineChars="200"/>
        <w:textAlignment w:val="baseline"/>
        <w:rPr>
          <w:rFonts w:ascii="宋体" w:hAnsi="宋体" w:cs="宋体"/>
          <w:sz w:val="24"/>
          <w:szCs w:val="24"/>
          <w:u w:val="single"/>
        </w:rPr>
      </w:pPr>
      <w:r>
        <w:rPr>
          <w:rFonts w:hint="eastAsia" w:ascii="宋体" w:hAnsi="宋体" w:cs="宋体"/>
          <w:sz w:val="24"/>
          <w:szCs w:val="24"/>
        </w:rPr>
        <w:t>1、供应商须将本项目响应文件：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70" w:firstLineChars="196"/>
        <w:textAlignment w:val="baseline"/>
        <w:rPr>
          <w:rFonts w:ascii="宋体" w:hAnsi="宋体" w:cs="宋体"/>
          <w:color w:val="0000FF"/>
          <w:sz w:val="24"/>
          <w:szCs w:val="24"/>
        </w:rPr>
      </w:pPr>
      <w:r>
        <w:rPr>
          <w:rFonts w:hint="eastAsia" w:ascii="宋体" w:hAnsi="宋体" w:cs="宋体"/>
          <w:sz w:val="24"/>
          <w:szCs w:val="24"/>
        </w:rPr>
        <w:t>2、密封后，应在每一密封的响应文件上明确标注磋商项目名称、项目编号、响应文件各自对应的名称、供应商的全称及日期。</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3、在边缝处加盖供应商公章或骑缝签字。</w:t>
      </w:r>
    </w:p>
    <w:p>
      <w:pPr>
        <w:snapToGrid w:val="0"/>
        <w:spacing w:line="360" w:lineRule="auto"/>
        <w:ind w:firstLine="480" w:firstLineChars="200"/>
        <w:textAlignment w:val="baseline"/>
        <w:rPr>
          <w:rFonts w:ascii="宋体" w:hAnsi="宋体" w:cs="宋体"/>
          <w:b/>
          <w:sz w:val="24"/>
          <w:szCs w:val="24"/>
        </w:rPr>
      </w:pPr>
      <w:r>
        <w:rPr>
          <w:rFonts w:hint="eastAsia" w:ascii="宋体" w:hAnsi="宋体" w:cs="宋体"/>
          <w:b/>
          <w:sz w:val="24"/>
          <w:szCs w:val="24"/>
        </w:rPr>
        <w:t>【特别提醒】：</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开标程序顺利进行后，所有投标文件都将作为档案保存，不论成交与否，代理机构均不退回（未拆封的除外）。</w:t>
      </w:r>
    </w:p>
    <w:p>
      <w:pPr>
        <w:snapToGrid w:val="0"/>
        <w:spacing w:line="360" w:lineRule="auto"/>
        <w:ind w:firstLine="494" w:firstLineChars="206"/>
        <w:textAlignment w:val="baseline"/>
        <w:rPr>
          <w:rFonts w:ascii="宋体" w:hAnsi="宋体" w:cs="宋体"/>
          <w:b/>
          <w:bCs/>
          <w:color w:val="000000"/>
          <w:sz w:val="24"/>
          <w:szCs w:val="24"/>
        </w:rPr>
      </w:pPr>
      <w:r>
        <w:rPr>
          <w:rFonts w:hint="eastAsia" w:ascii="宋体" w:hAnsi="宋体" w:cs="宋体"/>
          <w:b/>
          <w:bCs/>
          <w:color w:val="000000"/>
          <w:sz w:val="24"/>
          <w:szCs w:val="24"/>
        </w:rPr>
        <w:t>六、磋商报价</w:t>
      </w:r>
    </w:p>
    <w:p>
      <w:pPr>
        <w:snapToGrid w:val="0"/>
        <w:spacing w:line="360" w:lineRule="auto"/>
        <w:ind w:firstLine="494" w:firstLineChars="206"/>
        <w:textAlignment w:val="baseline"/>
        <w:rPr>
          <w:rFonts w:ascii="宋体" w:hAnsi="宋体" w:cs="宋体"/>
          <w:color w:val="000000"/>
          <w:sz w:val="24"/>
          <w:szCs w:val="24"/>
        </w:rPr>
      </w:pPr>
      <w:r>
        <w:rPr>
          <w:rFonts w:hint="eastAsia" w:ascii="宋体" w:hAnsi="宋体" w:cs="宋体"/>
          <w:color w:val="000000"/>
          <w:sz w:val="24"/>
          <w:szCs w:val="24"/>
        </w:rPr>
        <w:t>1、本项目不接受任何有选择的报价。</w:t>
      </w:r>
    </w:p>
    <w:p>
      <w:pPr>
        <w:snapToGrid w:val="0"/>
        <w:spacing w:line="360" w:lineRule="auto"/>
        <w:ind w:firstLine="494" w:firstLineChars="206"/>
        <w:textAlignment w:val="baseline"/>
        <w:rPr>
          <w:rFonts w:ascii="宋体" w:hAnsi="宋体" w:cs="宋体"/>
          <w:sz w:val="24"/>
          <w:szCs w:val="24"/>
        </w:rPr>
      </w:pPr>
      <w:r>
        <w:rPr>
          <w:rFonts w:hint="eastAsia" w:ascii="宋体" w:hAnsi="宋体" w:cs="宋体"/>
          <w:sz w:val="24"/>
          <w:szCs w:val="24"/>
        </w:rPr>
        <w:t>2、磋商报价均以人民币为报价的币种。</w:t>
      </w:r>
    </w:p>
    <w:p>
      <w:pPr>
        <w:snapToGrid w:val="0"/>
        <w:spacing w:line="360" w:lineRule="auto"/>
        <w:ind w:firstLine="494" w:firstLineChars="206"/>
        <w:textAlignment w:val="baseline"/>
        <w:rPr>
          <w:rFonts w:ascii="宋体" w:hAnsi="宋体" w:cs="宋体"/>
          <w:sz w:val="24"/>
          <w:szCs w:val="24"/>
        </w:rPr>
      </w:pPr>
      <w:r>
        <w:rPr>
          <w:rFonts w:hint="eastAsia" w:ascii="宋体" w:hAnsi="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napToGrid w:val="0"/>
        <w:spacing w:line="360" w:lineRule="auto"/>
        <w:ind w:firstLine="494" w:firstLineChars="206"/>
        <w:textAlignment w:val="baseline"/>
        <w:rPr>
          <w:sz w:val="24"/>
          <w:szCs w:val="24"/>
        </w:rPr>
      </w:pPr>
      <w:r>
        <w:rPr>
          <w:rFonts w:hint="eastAsia" w:ascii="宋体" w:hAnsi="宋体" w:cs="宋体"/>
          <w:b/>
          <w:bCs/>
          <w:sz w:val="24"/>
          <w:szCs w:val="24"/>
        </w:rPr>
        <w:t>4、磋商报价（以人民币计价）应包括但不限于所有与本项目实施有关的所有费用，包括</w:t>
      </w:r>
      <w:bookmarkStart w:id="32" w:name="_Hlk53933438"/>
      <w:bookmarkStart w:id="33" w:name="_Hlk46361151"/>
      <w:r>
        <w:rPr>
          <w:rFonts w:hint="eastAsia" w:ascii="宋体" w:hAnsi="宋体" w:cs="宋体"/>
          <w:b/>
          <w:bCs/>
          <w:sz w:val="24"/>
          <w:szCs w:val="24"/>
        </w:rPr>
        <w:t>所有的产品材料费（含辅材费）</w:t>
      </w:r>
      <w:r>
        <w:rPr>
          <w:rFonts w:hint="eastAsia"/>
          <w:b/>
          <w:bCs/>
          <w:sz w:val="24"/>
          <w:szCs w:val="24"/>
        </w:rPr>
        <w:t>、设计费、加工制作费、</w:t>
      </w:r>
      <w:r>
        <w:rPr>
          <w:rFonts w:hint="eastAsia" w:ascii="宋体" w:hAnsi="宋体" w:cs="宋体"/>
          <w:b/>
          <w:bCs/>
          <w:sz w:val="24"/>
          <w:szCs w:val="24"/>
        </w:rPr>
        <w:t>包装费、保险费、检测验收费、</w:t>
      </w:r>
      <w:r>
        <w:rPr>
          <w:rFonts w:hint="eastAsia"/>
          <w:b/>
          <w:bCs/>
          <w:sz w:val="24"/>
          <w:szCs w:val="24"/>
        </w:rPr>
        <w:t>运输到采购人指定地点的装运费用（含装卸力资）、成品保护费、安装费、技术支持与培训费</w:t>
      </w:r>
      <w:r>
        <w:rPr>
          <w:rFonts w:hint="eastAsia" w:ascii="宋体" w:hAnsi="宋体" w:cs="宋体"/>
          <w:b/>
          <w:bCs/>
          <w:sz w:val="24"/>
          <w:szCs w:val="24"/>
        </w:rPr>
        <w:t>、售后服务费、人工费及为完成本项目并达到采购人要求所必须发生的全部费用以及供应商的企业利润、税金和政策性文件规定及合同包含的所有风险、责任等各项应有费用</w:t>
      </w:r>
      <w:bookmarkEnd w:id="32"/>
      <w:r>
        <w:rPr>
          <w:rFonts w:hint="eastAsia" w:ascii="宋体" w:hAnsi="宋体" w:cs="宋体"/>
          <w:b/>
          <w:bCs/>
          <w:sz w:val="24"/>
          <w:szCs w:val="24"/>
        </w:rPr>
        <w:t>。</w:t>
      </w:r>
      <w:bookmarkEnd w:id="33"/>
      <w:r>
        <w:rPr>
          <w:rFonts w:hint="eastAsia" w:ascii="宋体" w:hAnsi="宋体" w:cs="宋体"/>
          <w:b/>
          <w:bCs/>
          <w:sz w:val="24"/>
          <w:szCs w:val="24"/>
        </w:rPr>
        <w:t>各投标人应根据磋商文件要求，并充分考虑市场，自行核算成本报价。</w:t>
      </w:r>
    </w:p>
    <w:p>
      <w:pPr>
        <w:snapToGrid w:val="0"/>
        <w:spacing w:line="360" w:lineRule="auto"/>
        <w:ind w:firstLine="494" w:firstLineChars="206"/>
        <w:textAlignment w:val="baseline"/>
        <w:rPr>
          <w:rFonts w:ascii="宋体" w:hAnsi="宋体" w:cs="宋体"/>
          <w:sz w:val="24"/>
          <w:szCs w:val="24"/>
        </w:rPr>
      </w:pPr>
      <w:r>
        <w:rPr>
          <w:rFonts w:hint="eastAsia" w:ascii="宋体" w:hAnsi="宋体" w:cs="宋体"/>
          <w:sz w:val="24"/>
          <w:szCs w:val="24"/>
        </w:rPr>
        <w:t>5、本项目竞争性磋商的最终报价为成交价，同时，成交供应商的成交价在合同实施期间不因市场变化因素而变动。</w:t>
      </w:r>
    </w:p>
    <w:p>
      <w:pPr>
        <w:pStyle w:val="2"/>
        <w:snapToGrid w:val="0"/>
        <w:spacing w:after="0" w:line="360" w:lineRule="auto"/>
        <w:ind w:firstLine="480"/>
        <w:textAlignment w:val="baseline"/>
        <w:rPr>
          <w:sz w:val="21"/>
        </w:rPr>
      </w:pPr>
      <w:r>
        <w:rPr>
          <w:rFonts w:hint="eastAsia" w:ascii="宋体" w:hAnsi="宋体" w:cs="宋体"/>
          <w:szCs w:val="24"/>
        </w:rPr>
        <w:t>6、若成交，各设备综合单价的计算原则：以磋商响应首次报价明细表中的单价为基数，根据最终磋商总价报价（成交价）与首轮磋商总价报价之间的下浮率进行同比例下浮，且以此作为确定最终各设备综合单价的依据。</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7、最低的磋商报价是成交的重要条件，但不是成交的唯一条件。</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8、供应商应详细阅读磋商文件的全部内容，根据采购项目需求，准确制定相关工作方案等，必须对本采购项目全部进行报价，如有漏项，视同对本项目的优惠。不按磋商文件的要求提供响应文件，导致报价无效，按无效响应处理。</w:t>
      </w:r>
    </w:p>
    <w:p>
      <w:pPr>
        <w:pStyle w:val="2"/>
        <w:snapToGrid w:val="0"/>
        <w:spacing w:after="0" w:line="360" w:lineRule="auto"/>
        <w:ind w:firstLine="480"/>
        <w:textAlignment w:val="baseline"/>
        <w:rPr>
          <w:sz w:val="21"/>
        </w:rPr>
      </w:pPr>
      <w:r>
        <w:rPr>
          <w:rFonts w:hint="eastAsia" w:ascii="宋体" w:hAnsi="宋体" w:cs="宋体"/>
          <w:szCs w:val="24"/>
        </w:rPr>
        <w:t>9、</w:t>
      </w:r>
      <w:r>
        <w:rPr>
          <w:rFonts w:hint="eastAsia" w:cs="宋体"/>
          <w:szCs w:val="24"/>
        </w:rPr>
        <w:t>如因采购人实际需求，供货数量发生变化，成交人须无条件满足采购人需求，确保供货质量并及时供货；结算时按采购人验收合格的实际数量进行结算，合同单价不变。</w:t>
      </w:r>
    </w:p>
    <w:p>
      <w:pPr>
        <w:pStyle w:val="19"/>
        <w:snapToGrid w:val="0"/>
        <w:spacing w:line="360" w:lineRule="auto"/>
        <w:ind w:firstLine="480"/>
        <w:textAlignment w:val="baseline"/>
        <w:rPr>
          <w:b/>
        </w:rPr>
      </w:pPr>
      <w:r>
        <w:rPr>
          <w:rFonts w:hint="eastAsia"/>
          <w:b/>
          <w:lang w:val="en-US" w:eastAsia="zh-CN"/>
        </w:rPr>
        <w:t>七</w:t>
      </w:r>
      <w:r>
        <w:rPr>
          <w:rFonts w:hint="eastAsia"/>
          <w:b/>
        </w:rPr>
        <w:t>、磋商响应费用</w:t>
      </w:r>
    </w:p>
    <w:p>
      <w:pPr>
        <w:snapToGrid w:val="0"/>
        <w:spacing w:line="360" w:lineRule="auto"/>
        <w:ind w:firstLine="480" w:firstLineChars="200"/>
        <w:textAlignment w:val="baseline"/>
        <w:rPr>
          <w:rFonts w:ascii="宋体" w:hAnsi="宋体" w:cs="宋体"/>
          <w:b/>
          <w:bCs/>
          <w:sz w:val="24"/>
          <w:szCs w:val="24"/>
        </w:rPr>
      </w:pPr>
      <w:r>
        <w:rPr>
          <w:rFonts w:hint="eastAsia" w:ascii="宋体" w:hAnsi="宋体" w:cs="宋体"/>
          <w:b/>
          <w:bCs/>
          <w:sz w:val="24"/>
          <w:szCs w:val="24"/>
        </w:rPr>
        <w:t>1、各供应商须在递交磋商响应文件的同时缴纳磋商文件资料费300元。无论是否成交，该费用不予退还。</w:t>
      </w:r>
    </w:p>
    <w:p>
      <w:pPr>
        <w:snapToGrid w:val="0"/>
        <w:spacing w:line="360" w:lineRule="auto"/>
        <w:ind w:firstLine="480" w:firstLineChars="200"/>
        <w:textAlignment w:val="baseline"/>
        <w:rPr>
          <w:rFonts w:ascii="宋体" w:hAnsi="宋体"/>
          <w:bCs/>
          <w:sz w:val="24"/>
          <w:szCs w:val="24"/>
        </w:rPr>
      </w:pPr>
      <w:r>
        <w:rPr>
          <w:rFonts w:hint="eastAsia" w:ascii="宋体" w:hAnsi="宋体" w:cs="宋体"/>
          <w:b/>
          <w:bCs/>
          <w:sz w:val="24"/>
          <w:szCs w:val="24"/>
        </w:rPr>
        <w:t>2、本项目采购代理费人民币4500元由成交供应商承担，请参加磋商的投标供应商在成本中自行考虑。</w:t>
      </w:r>
      <w:r>
        <w:rPr>
          <w:rFonts w:hint="eastAsia" w:ascii="宋体" w:hAnsi="宋体"/>
          <w:bCs/>
          <w:sz w:val="24"/>
          <w:szCs w:val="24"/>
        </w:rPr>
        <w:t>上述费用领取中标通知书前，向代理公司一次性缴清。</w:t>
      </w:r>
    </w:p>
    <w:p>
      <w:pPr>
        <w:snapToGrid w:val="0"/>
        <w:spacing w:line="360" w:lineRule="auto"/>
        <w:ind w:firstLine="494" w:firstLineChars="206"/>
        <w:textAlignment w:val="baseline"/>
        <w:rPr>
          <w:rFonts w:ascii="宋体" w:hAnsi="宋体" w:cs="宋体"/>
          <w:b/>
          <w:bCs/>
          <w:sz w:val="24"/>
          <w:szCs w:val="24"/>
        </w:rPr>
      </w:pP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w:t>
      </w:r>
      <w:r>
        <w:rPr>
          <w:rFonts w:hint="eastAsia" w:ascii="宋体" w:hAnsi="宋体" w:cs="宋体"/>
          <w:b/>
          <w:bCs/>
          <w:sz w:val="24"/>
          <w:szCs w:val="24"/>
        </w:rPr>
        <w:t>联合体参与磋商</w:t>
      </w:r>
    </w:p>
    <w:p>
      <w:pPr>
        <w:snapToGrid w:val="0"/>
        <w:spacing w:line="360" w:lineRule="auto"/>
        <w:ind w:firstLine="470" w:firstLineChars="196"/>
        <w:textAlignment w:val="baseline"/>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4" w:firstLineChars="206"/>
        <w:textAlignment w:val="baseline"/>
        <w:rPr>
          <w:sz w:val="24"/>
          <w:szCs w:val="24"/>
        </w:rPr>
      </w:pPr>
      <w:r>
        <w:rPr>
          <w:rFonts w:hint="eastAsia" w:cs="宋体"/>
          <w:b/>
          <w:bCs/>
          <w:sz w:val="24"/>
          <w:szCs w:val="24"/>
          <w:lang w:val="en-US" w:eastAsia="zh-CN"/>
        </w:rPr>
        <w:t>九</w:t>
      </w:r>
      <w:r>
        <w:rPr>
          <w:rFonts w:hint="eastAsia" w:cs="宋体"/>
          <w:b/>
          <w:bCs/>
          <w:sz w:val="24"/>
          <w:szCs w:val="24"/>
        </w:rPr>
        <w:t>、磋商响应文件的有效期</w:t>
      </w:r>
    </w:p>
    <w:p>
      <w:pPr>
        <w:snapToGrid w:val="0"/>
        <w:spacing w:line="360" w:lineRule="auto"/>
        <w:ind w:firstLine="480" w:firstLineChars="200"/>
        <w:textAlignment w:val="baseline"/>
        <w:rPr>
          <w:sz w:val="24"/>
          <w:szCs w:val="24"/>
        </w:rPr>
      </w:pPr>
      <w:r>
        <w:rPr>
          <w:sz w:val="24"/>
          <w:szCs w:val="24"/>
        </w:rPr>
        <w:t>1</w:t>
      </w:r>
      <w:r>
        <w:rPr>
          <w:rFonts w:hint="eastAsia"/>
          <w:sz w:val="24"/>
          <w:szCs w:val="24"/>
        </w:rPr>
        <w:t>、</w:t>
      </w:r>
      <w:r>
        <w:rPr>
          <w:rFonts w:hint="eastAsia" w:cs="宋体"/>
          <w:sz w:val="24"/>
          <w:szCs w:val="24"/>
        </w:rPr>
        <w:t>从磋商响应文件接收截止之日算起，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rPr>
          <w:sz w:val="20"/>
        </w:rPr>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b/>
          <w:color w:val="000000"/>
          <w:sz w:val="24"/>
          <w:szCs w:val="24"/>
        </w:rPr>
        <w:t>十、</w:t>
      </w:r>
      <w:r>
        <w:rPr>
          <w:rFonts w:hint="eastAsia" w:ascii="宋体" w:hAnsi="宋体" w:cs="宋体"/>
          <w:b/>
          <w:bCs/>
          <w:sz w:val="24"/>
          <w:szCs w:val="24"/>
        </w:rPr>
        <w:t>响应文件及</w:t>
      </w:r>
      <w:r>
        <w:rPr>
          <w:rFonts w:hint="eastAsia" w:ascii="宋体" w:hAnsi="宋体" w:cs="宋体"/>
          <w:b/>
          <w:kern w:val="0"/>
          <w:sz w:val="24"/>
          <w:szCs w:val="24"/>
        </w:rPr>
        <w:t>磋商</w:t>
      </w:r>
      <w:r>
        <w:rPr>
          <w:rFonts w:hint="eastAsia" w:ascii="宋体" w:hAnsi="宋体" w:cs="宋体"/>
          <w:b/>
          <w:bCs/>
          <w:sz w:val="24"/>
          <w:szCs w:val="24"/>
        </w:rPr>
        <w:t>费用</w:t>
      </w:r>
    </w:p>
    <w:p>
      <w:pPr>
        <w:snapToGrid w:val="0"/>
        <w:spacing w:line="360" w:lineRule="auto"/>
        <w:ind w:firstLine="460" w:firstLineChars="192"/>
        <w:textAlignment w:val="baseline"/>
        <w:rPr>
          <w:rFonts w:ascii="宋体" w:hAnsi="宋体" w:cs="宋体"/>
          <w:sz w:val="24"/>
          <w:szCs w:val="24"/>
        </w:rPr>
      </w:pPr>
      <w:r>
        <w:rPr>
          <w:rFonts w:hint="eastAsia" w:ascii="宋体" w:hAnsi="宋体" w:cs="宋体"/>
          <w:sz w:val="24"/>
          <w:szCs w:val="24"/>
        </w:rPr>
        <w:t>1、磋商程序顺利进行后，除供应商的原件可退回外，其余所有的响应文件都将作为档案保存，不论成交与否，代理机构均不退回（未拆封的除外）。</w:t>
      </w:r>
    </w:p>
    <w:p>
      <w:pPr>
        <w:snapToGrid w:val="0"/>
        <w:spacing w:line="360" w:lineRule="auto"/>
        <w:ind w:firstLine="460" w:firstLineChars="192"/>
        <w:textAlignment w:val="baseline"/>
        <w:rPr>
          <w:rFonts w:ascii="宋体" w:hAnsi="宋体" w:cs="宋体"/>
          <w:color w:val="000000"/>
          <w:sz w:val="24"/>
          <w:szCs w:val="24"/>
        </w:rPr>
      </w:pPr>
      <w:r>
        <w:rPr>
          <w:rFonts w:hint="eastAsia" w:ascii="宋体" w:hAnsi="宋体" w:cs="宋体"/>
          <w:color w:val="000000"/>
          <w:sz w:val="24"/>
          <w:szCs w:val="24"/>
        </w:rPr>
        <w:t>2、无论磋商过程和结果如何，参加项目磋商的供应商自行承担与本次项目磋商有关的全部费用。</w:t>
      </w:r>
    </w:p>
    <w:p>
      <w:pPr>
        <w:snapToGrid w:val="0"/>
        <w:spacing w:line="360" w:lineRule="auto"/>
        <w:ind w:firstLine="494" w:firstLineChars="206"/>
        <w:textAlignment w:val="baseline"/>
        <w:rPr>
          <w:rFonts w:ascii="宋体" w:hAnsi="宋体" w:cs="宋体"/>
          <w:b/>
          <w:color w:val="000000"/>
          <w:sz w:val="24"/>
          <w:szCs w:val="24"/>
        </w:rPr>
      </w:pPr>
      <w:r>
        <w:rPr>
          <w:rFonts w:hint="eastAsia" w:ascii="宋体" w:hAnsi="宋体" w:cs="宋体"/>
          <w:b/>
          <w:color w:val="000000"/>
          <w:sz w:val="24"/>
          <w:szCs w:val="24"/>
        </w:rPr>
        <w:t>十</w:t>
      </w:r>
      <w:r>
        <w:rPr>
          <w:rFonts w:hint="eastAsia" w:ascii="宋体" w:hAnsi="宋体" w:cs="宋体"/>
          <w:b/>
          <w:color w:val="000000"/>
          <w:sz w:val="24"/>
          <w:szCs w:val="24"/>
          <w:lang w:val="en-US" w:eastAsia="zh-CN"/>
        </w:rPr>
        <w:t>一</w:t>
      </w:r>
      <w:r>
        <w:rPr>
          <w:rFonts w:hint="eastAsia" w:ascii="宋体" w:hAnsi="宋体" w:cs="宋体"/>
          <w:b/>
          <w:color w:val="000000"/>
          <w:sz w:val="24"/>
          <w:szCs w:val="24"/>
        </w:rPr>
        <w:t>、履约保证金</w:t>
      </w:r>
    </w:p>
    <w:p>
      <w:pPr>
        <w:snapToGrid w:val="0"/>
        <w:spacing w:line="360" w:lineRule="auto"/>
        <w:ind w:firstLine="494" w:firstLineChars="206"/>
        <w:textAlignment w:val="baseline"/>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cs="宋体"/>
          <w:b/>
          <w:bCs/>
          <w:sz w:val="24"/>
          <w:szCs w:val="24"/>
        </w:rPr>
        <w:t>本项目成交后的履约保证金为成交价的10%</w:t>
      </w:r>
      <w:r>
        <w:rPr>
          <w:rFonts w:hint="eastAsia" w:ascii="宋体" w:hAnsi="宋体" w:cs="宋体"/>
          <w:bCs/>
          <w:color w:val="000000"/>
          <w:sz w:val="24"/>
          <w:szCs w:val="24"/>
        </w:rPr>
        <w:t xml:space="preserve">。 </w:t>
      </w:r>
    </w:p>
    <w:p>
      <w:pPr>
        <w:snapToGrid w:val="0"/>
        <w:spacing w:line="360" w:lineRule="auto"/>
        <w:ind w:firstLine="494" w:firstLineChars="206"/>
        <w:textAlignment w:val="baseline"/>
        <w:rPr>
          <w:rFonts w:ascii="宋体" w:hAnsi="宋体" w:cs="宋体"/>
          <w:bCs/>
          <w:sz w:val="24"/>
          <w:szCs w:val="24"/>
        </w:rPr>
      </w:pPr>
      <w:r>
        <w:rPr>
          <w:rFonts w:hint="eastAsia" w:ascii="宋体" w:hAnsi="宋体" w:cs="宋体"/>
          <w:bCs/>
          <w:color w:val="000000"/>
          <w:sz w:val="24"/>
          <w:szCs w:val="24"/>
        </w:rPr>
        <w:t>2、成交供应商的履约保证金须在成交通知书发出3</w:t>
      </w:r>
      <w:r>
        <w:rPr>
          <w:rFonts w:hint="eastAsia" w:ascii="宋体" w:hAnsi="宋体" w:cs="宋体"/>
          <w:sz w:val="24"/>
          <w:szCs w:val="24"/>
        </w:rPr>
        <w:t>个工作日内</w:t>
      </w:r>
      <w:r>
        <w:rPr>
          <w:rFonts w:hint="eastAsia" w:ascii="宋体" w:hAnsi="宋体" w:cs="宋体"/>
          <w:bCs/>
          <w:color w:val="000000"/>
          <w:sz w:val="24"/>
          <w:szCs w:val="24"/>
        </w:rPr>
        <w:t>汇入采购人账户，</w:t>
      </w:r>
      <w:r>
        <w:rPr>
          <w:rFonts w:hint="eastAsia" w:ascii="宋体" w:hAnsi="宋体" w:cs="宋体"/>
          <w:bCs/>
          <w:sz w:val="24"/>
          <w:szCs w:val="24"/>
        </w:rPr>
        <w:t>成交供应商凭成交通知书、履约保证金缴纳凭证</w:t>
      </w:r>
      <w:r>
        <w:rPr>
          <w:rFonts w:hint="eastAsia" w:ascii="宋体" w:hAnsi="宋体" w:cs="宋体"/>
          <w:bCs/>
          <w:color w:val="000000"/>
          <w:sz w:val="24"/>
          <w:szCs w:val="24"/>
        </w:rPr>
        <w:t>在成交通知书发出后15日内与采购人签订合同。</w:t>
      </w:r>
      <w:r>
        <w:rPr>
          <w:rFonts w:hint="eastAsia" w:ascii="宋体" w:hAnsi="宋体" w:cs="宋体"/>
          <w:bCs/>
          <w:sz w:val="24"/>
          <w:szCs w:val="24"/>
        </w:rPr>
        <w:t xml:space="preserve">超期或未有协商，则视为自动放弃成交资格。  </w:t>
      </w:r>
    </w:p>
    <w:p>
      <w:pPr>
        <w:snapToGrid w:val="0"/>
        <w:spacing w:line="360" w:lineRule="auto"/>
        <w:ind w:firstLine="494" w:firstLineChars="206"/>
        <w:textAlignment w:val="baseline"/>
        <w:rPr>
          <w:rFonts w:ascii="宋体" w:hAnsi="宋体" w:cs="宋体"/>
          <w:bCs/>
          <w:sz w:val="24"/>
          <w:szCs w:val="24"/>
        </w:rPr>
      </w:pPr>
      <w:r>
        <w:rPr>
          <w:rFonts w:hint="eastAsia" w:ascii="宋体" w:hAnsi="宋体" w:cs="宋体"/>
          <w:bCs/>
          <w:sz w:val="24"/>
          <w:szCs w:val="24"/>
        </w:rPr>
        <w:t>3、成交供应商在按要求保质保量的完成该项目并通过验收后，采购人凭成交供应商提交的申请，一次性无息退还该合同项目的履约保证金。</w:t>
      </w:r>
    </w:p>
    <w:p>
      <w:pPr>
        <w:snapToGrid w:val="0"/>
        <w:spacing w:line="360" w:lineRule="auto"/>
        <w:ind w:firstLine="494" w:firstLineChars="206"/>
        <w:textAlignment w:val="baseline"/>
        <w:rPr>
          <w:rFonts w:ascii="宋体" w:hAnsi="宋体" w:cs="宋体"/>
          <w:bCs/>
          <w:color w:val="000000"/>
          <w:sz w:val="24"/>
          <w:szCs w:val="24"/>
        </w:rPr>
      </w:pPr>
      <w:r>
        <w:rPr>
          <w:rFonts w:hint="eastAsia" w:ascii="宋体" w:hAnsi="宋体" w:cs="宋体"/>
          <w:bCs/>
          <w:color w:val="000000"/>
          <w:sz w:val="24"/>
          <w:szCs w:val="24"/>
        </w:rPr>
        <w:t>4、由于成交供应商原因，在签订合同后出现不按合同履行的情况，采购人有权将履约保证金作为违约金，全额不予退还，同时采购人亦有权终止合同，成交供应商还须承担相应的法律赔偿责任。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4" w:firstLineChars="206"/>
        <w:textAlignment w:val="baseline"/>
        <w:rPr>
          <w:rFonts w:ascii="宋体" w:hAnsi="宋体" w:cs="宋体"/>
          <w:b/>
          <w:color w:val="000000"/>
          <w:sz w:val="24"/>
          <w:szCs w:val="24"/>
        </w:rPr>
      </w:pPr>
      <w:bookmarkStart w:id="34" w:name="_Toc363573855"/>
      <w:r>
        <w:rPr>
          <w:rFonts w:hint="eastAsia" w:ascii="宋体" w:hAnsi="宋体" w:cs="宋体"/>
          <w:b/>
          <w:color w:val="000000"/>
          <w:sz w:val="24"/>
          <w:szCs w:val="24"/>
        </w:rPr>
        <w:t>十</w:t>
      </w:r>
      <w:r>
        <w:rPr>
          <w:rFonts w:hint="eastAsia" w:ascii="宋体" w:hAnsi="宋体" w:cs="宋体"/>
          <w:b/>
          <w:color w:val="000000"/>
          <w:sz w:val="24"/>
          <w:szCs w:val="24"/>
          <w:lang w:val="en-US" w:eastAsia="zh-CN"/>
        </w:rPr>
        <w:t>二</w:t>
      </w:r>
      <w:r>
        <w:rPr>
          <w:rFonts w:hint="eastAsia" w:ascii="宋体" w:hAnsi="宋体" w:cs="宋体"/>
          <w:b/>
          <w:color w:val="000000"/>
          <w:sz w:val="24"/>
          <w:szCs w:val="24"/>
        </w:rPr>
        <w:t>、付款方式</w:t>
      </w:r>
    </w:p>
    <w:p>
      <w:pPr>
        <w:snapToGrid w:val="0"/>
        <w:spacing w:line="360" w:lineRule="auto"/>
        <w:ind w:firstLine="480" w:firstLineChars="200"/>
        <w:textAlignment w:val="baseline"/>
        <w:rPr>
          <w:rFonts w:ascii="宋体" w:hAnsi="宋体" w:cs="宋体"/>
          <w:b/>
          <w:color w:val="000000"/>
          <w:sz w:val="24"/>
          <w:szCs w:val="24"/>
        </w:rPr>
      </w:pPr>
      <w:r>
        <w:rPr>
          <w:rFonts w:hint="eastAsia" w:ascii="宋体" w:hAnsi="宋体" w:cs="宋体"/>
          <w:sz w:val="24"/>
          <w:szCs w:val="24"/>
        </w:rPr>
        <w:t>成交供应商缴纳履约保证金，且合同签订后，采购人支付合同价款的30%作为预付款，成交供应商按照采购人规定的交货时间将货物运送到采购人指定地点且安装调试完毕，验收合格后，采购人付至合同价款的95%，余款5%转为质量保证金，在一年免费质保期满后，且无质量问题一次性不计息付清。成交供应商须提供相应金额且符合采购人财务制度规定的增值税发票，采购人按程序审批后支付款项。</w:t>
      </w:r>
    </w:p>
    <w:p>
      <w:pPr>
        <w:snapToGrid w:val="0"/>
        <w:spacing w:line="360" w:lineRule="auto"/>
        <w:ind w:firstLine="494" w:firstLineChars="206"/>
        <w:textAlignment w:val="baseline"/>
        <w:rPr>
          <w:rFonts w:ascii="宋体" w:hAnsi="宋体" w:cs="宋体"/>
          <w:b/>
          <w:color w:val="000000"/>
          <w:sz w:val="24"/>
          <w:szCs w:val="24"/>
        </w:rPr>
      </w:pPr>
      <w:r>
        <w:rPr>
          <w:rFonts w:hint="eastAsia" w:ascii="宋体" w:hAnsi="宋体" w:cs="宋体"/>
          <w:b/>
          <w:color w:val="000000"/>
          <w:sz w:val="24"/>
          <w:szCs w:val="24"/>
        </w:rPr>
        <w:t>十</w:t>
      </w:r>
      <w:r>
        <w:rPr>
          <w:rFonts w:hint="eastAsia" w:ascii="宋体" w:hAnsi="宋体" w:cs="宋体"/>
          <w:b/>
          <w:color w:val="000000"/>
          <w:sz w:val="24"/>
          <w:szCs w:val="24"/>
          <w:lang w:val="en-US" w:eastAsia="zh-CN"/>
        </w:rPr>
        <w:t>三</w:t>
      </w:r>
      <w:r>
        <w:rPr>
          <w:rFonts w:hint="eastAsia" w:ascii="宋体" w:hAnsi="宋体" w:cs="宋体"/>
          <w:b/>
          <w:color w:val="000000"/>
          <w:sz w:val="24"/>
          <w:szCs w:val="24"/>
        </w:rPr>
        <w:t>、未尽事宜</w:t>
      </w:r>
    </w:p>
    <w:p>
      <w:pPr>
        <w:snapToGrid w:val="0"/>
        <w:spacing w:line="360" w:lineRule="auto"/>
        <w:ind w:firstLine="494" w:firstLineChars="206"/>
        <w:textAlignment w:val="baseline"/>
        <w:rPr>
          <w:rFonts w:ascii="宋体" w:hAnsi="宋体" w:cs="宋体"/>
          <w:color w:val="000000"/>
          <w:sz w:val="24"/>
          <w:szCs w:val="24"/>
        </w:rPr>
      </w:pPr>
      <w:r>
        <w:rPr>
          <w:rFonts w:hint="eastAsia" w:ascii="宋体" w:hAnsi="宋体" w:cs="宋体"/>
          <w:color w:val="000000"/>
          <w:sz w:val="24"/>
          <w:szCs w:val="24"/>
        </w:rPr>
        <w:t>按照《中华人民共和国政府采购法》、《政府采购竞争性磋商采购方式管理暂行办法》及其他有关法律法规的规定执行。</w:t>
      </w:r>
    </w:p>
    <w:p>
      <w:pPr>
        <w:snapToGrid w:val="0"/>
        <w:spacing w:line="360" w:lineRule="auto"/>
        <w:ind w:firstLine="494" w:firstLineChars="206"/>
        <w:textAlignment w:val="baseline"/>
        <w:rPr>
          <w:rFonts w:ascii="宋体" w:hAnsi="宋体" w:cs="宋体"/>
          <w:color w:val="000000"/>
          <w:sz w:val="24"/>
          <w:szCs w:val="24"/>
        </w:rPr>
      </w:pPr>
    </w:p>
    <w:p>
      <w:pPr>
        <w:snapToGrid w:val="0"/>
        <w:textAlignment w:val="baseline"/>
        <w:rPr>
          <w:rFonts w:hint="eastAsia" w:eastAsia="宋体"/>
          <w:sz w:val="20"/>
          <w:lang w:eastAsia="zh-CN"/>
        </w:rPr>
      </w:pPr>
    </w:p>
    <w:p>
      <w:pPr>
        <w:pStyle w:val="2"/>
        <w:rPr>
          <w:rFonts w:hint="eastAsia"/>
          <w:lang w:eastAsia="zh-CN"/>
        </w:rPr>
      </w:pPr>
    </w:p>
    <w:p>
      <w:pPr>
        <w:snapToGrid w:val="0"/>
        <w:spacing w:line="480" w:lineRule="exact"/>
        <w:ind w:firstLine="725" w:firstLineChars="206"/>
        <w:textAlignment w:val="baseline"/>
        <w:rPr>
          <w:rFonts w:ascii="宋体" w:hAnsi="宋体" w:cs="宋体"/>
          <w:b/>
          <w:color w:val="000000"/>
          <w:w w:val="80"/>
          <w:sz w:val="44"/>
          <w:szCs w:val="44"/>
        </w:rPr>
      </w:pPr>
    </w:p>
    <w:p>
      <w:pPr>
        <w:snapToGrid w:val="0"/>
        <w:textAlignment w:val="baseline"/>
        <w:rPr>
          <w:rFonts w:ascii="宋体" w:hAnsi="宋体" w:cs="宋体"/>
          <w:b/>
          <w:color w:val="000000"/>
          <w:w w:val="80"/>
          <w:sz w:val="44"/>
          <w:szCs w:val="44"/>
        </w:rPr>
      </w:pPr>
      <w:r>
        <w:rPr>
          <w:rFonts w:hint="eastAsia" w:ascii="宋体" w:hAnsi="宋体" w:cs="宋体"/>
          <w:b/>
          <w:color w:val="000000"/>
          <w:w w:val="80"/>
          <w:sz w:val="44"/>
          <w:szCs w:val="44"/>
        </w:rPr>
        <w:br w:type="page"/>
      </w:r>
    </w:p>
    <w:p>
      <w:pPr>
        <w:snapToGrid w:val="0"/>
        <w:spacing w:line="360" w:lineRule="auto"/>
        <w:jc w:val="center"/>
        <w:textAlignment w:val="baseline"/>
        <w:rPr>
          <w:rFonts w:ascii="宋体" w:hAnsi="宋体" w:cs="宋体"/>
          <w:b/>
          <w:i/>
          <w:color w:val="000000"/>
          <w:w w:val="80"/>
          <w:sz w:val="32"/>
          <w:szCs w:val="32"/>
        </w:rPr>
      </w:pPr>
      <w:r>
        <w:rPr>
          <w:rFonts w:hint="eastAsia" w:ascii="宋体" w:hAnsi="宋体" w:cs="宋体"/>
          <w:b/>
          <w:color w:val="000000"/>
          <w:w w:val="80"/>
          <w:sz w:val="44"/>
          <w:szCs w:val="44"/>
        </w:rPr>
        <w:t xml:space="preserve">第三章  </w:t>
      </w:r>
      <w:bookmarkEnd w:id="22"/>
      <w:bookmarkEnd w:id="23"/>
      <w:bookmarkEnd w:id="24"/>
      <w:bookmarkEnd w:id="25"/>
      <w:bookmarkEnd w:id="26"/>
      <w:bookmarkEnd w:id="27"/>
      <w:bookmarkEnd w:id="28"/>
      <w:bookmarkEnd w:id="29"/>
      <w:bookmarkEnd w:id="30"/>
      <w:bookmarkEnd w:id="31"/>
      <w:r>
        <w:rPr>
          <w:rFonts w:hint="eastAsia" w:ascii="宋体" w:hAnsi="宋体" w:cs="宋体"/>
          <w:b/>
          <w:color w:val="000000"/>
          <w:w w:val="80"/>
          <w:sz w:val="44"/>
          <w:szCs w:val="44"/>
        </w:rPr>
        <w:t>项目需求</w:t>
      </w:r>
      <w:bookmarkEnd w:id="34"/>
    </w:p>
    <w:p>
      <w:pPr>
        <w:snapToGrid w:val="0"/>
        <w:spacing w:line="360" w:lineRule="auto"/>
        <w:ind w:left="-210" w:leftChars="-100" w:firstLine="518" w:firstLineChars="216"/>
        <w:textAlignment w:val="baseline"/>
        <w:rPr>
          <w:rFonts w:ascii="宋体" w:hAnsi="宋体" w:cs="宋体"/>
          <w:kern w:val="0"/>
          <w:sz w:val="24"/>
          <w:szCs w:val="24"/>
          <w:lang w:val="zh-CN"/>
        </w:rPr>
      </w:pPr>
      <w:bookmarkStart w:id="35" w:name="_Toc94544872"/>
      <w:bookmarkStart w:id="36" w:name="_Toc94585342"/>
      <w:bookmarkStart w:id="37" w:name="_Toc94544746"/>
      <w:bookmarkStart w:id="38" w:name="_Toc521203420"/>
      <w:bookmarkStart w:id="39" w:name="_Toc8895741"/>
      <w:bookmarkStart w:id="40" w:name="_Toc11500282"/>
      <w:bookmarkStart w:id="41" w:name="_Toc13803483"/>
      <w:bookmarkStart w:id="42" w:name="_Toc11554641"/>
      <w:bookmarkStart w:id="43" w:name="_Toc521201599"/>
      <w:bookmarkStart w:id="44" w:name="_Toc11499586"/>
      <w:bookmarkStart w:id="45" w:name="_Toc12670505"/>
      <w:bookmarkStart w:id="46" w:name="_Toc363573856"/>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人项目需求说明中的技术要求，必须作实事求是的响应。如照搬照抄项目需求说明中的技术要求，成交后供应商在同采购人签订合同和履约环节中不得提出异议，一切后果和损失由成交供应商承担。如供应商提供的货物和服务同采购人提出的项目需求说明中的技术要求不同的，必须在《技术条款响应一览表》上明示，如不明示的视同完全响应。</w:t>
      </w:r>
    </w:p>
    <w:p>
      <w:pPr>
        <w:snapToGrid w:val="0"/>
        <w:spacing w:line="360" w:lineRule="auto"/>
        <w:ind w:firstLine="480" w:firstLineChars="200"/>
        <w:textAlignment w:val="baseline"/>
        <w:rPr>
          <w:rFonts w:ascii="宋体" w:hAnsi="宋体"/>
          <w:b/>
          <w:sz w:val="24"/>
          <w:szCs w:val="24"/>
        </w:rPr>
      </w:pPr>
    </w:p>
    <w:p>
      <w:pPr>
        <w:snapToGrid w:val="0"/>
        <w:spacing w:line="360" w:lineRule="auto"/>
        <w:ind w:firstLine="480" w:firstLineChars="200"/>
        <w:textAlignment w:val="baseline"/>
        <w:rPr>
          <w:rFonts w:ascii="宋体" w:hAnsi="宋体"/>
          <w:b/>
          <w:sz w:val="24"/>
          <w:szCs w:val="24"/>
        </w:rPr>
      </w:pPr>
      <w:bookmarkStart w:id="78" w:name="_GoBack"/>
      <w:r>
        <w:rPr>
          <w:rFonts w:hint="eastAsia" w:ascii="宋体" w:hAnsi="宋体"/>
          <w:b/>
          <w:sz w:val="24"/>
          <w:szCs w:val="24"/>
        </w:rPr>
        <w:t>一、</w:t>
      </w:r>
      <w:r>
        <w:rPr>
          <w:b/>
          <w:bCs/>
          <w:sz w:val="24"/>
          <w:szCs w:val="24"/>
        </w:rPr>
        <w:t>需求总则</w:t>
      </w:r>
    </w:p>
    <w:p>
      <w:pPr>
        <w:widowControl/>
        <w:snapToGrid w:val="0"/>
        <w:spacing w:line="360" w:lineRule="auto"/>
        <w:ind w:firstLine="480" w:firstLineChars="200"/>
        <w:jc w:val="left"/>
        <w:textAlignment w:val="baseline"/>
        <w:rPr>
          <w:rFonts w:ascii="宋体" w:hAnsi="宋体" w:cs="宋体"/>
          <w:sz w:val="24"/>
          <w:szCs w:val="24"/>
        </w:rPr>
      </w:pPr>
      <w:r>
        <w:rPr>
          <w:rFonts w:hint="eastAsia" w:ascii="宋体" w:hAnsi="宋体"/>
          <w:b/>
          <w:sz w:val="24"/>
          <w:szCs w:val="24"/>
        </w:rPr>
        <w:t>1、主要技术参数：</w:t>
      </w:r>
      <w:r>
        <w:rPr>
          <w:rFonts w:hint="eastAsia" w:ascii="宋体" w:hAnsi="宋体"/>
          <w:sz w:val="24"/>
          <w:szCs w:val="24"/>
        </w:rPr>
        <w:t>为鼓励不同品牌的充分竞争，如某主要技术参数属于个别品牌专有，则该主要技术参数不具有限制性，供应商可对该参数进行适当调整，并说明调整的理由</w:t>
      </w:r>
      <w:r>
        <w:rPr>
          <w:rFonts w:hint="eastAsia" w:ascii="宋体" w:hAnsi="宋体" w:cs="宋体"/>
          <w:sz w:val="24"/>
          <w:szCs w:val="24"/>
          <w:shd w:val="clear" w:color="auto" w:fill="FFFFFF"/>
        </w:rPr>
        <w:t>，但必须保证不出现负偏离应标，且应提供产品调整对比表；调整后产品的详细技术参数。</w:t>
      </w:r>
    </w:p>
    <w:p>
      <w:pPr>
        <w:pStyle w:val="3"/>
        <w:snapToGrid w:val="0"/>
        <w:spacing w:after="0" w:line="360" w:lineRule="auto"/>
        <w:textAlignment w:val="baseline"/>
      </w:pPr>
      <w:r>
        <w:rPr>
          <w:rFonts w:hint="eastAsia" w:ascii="宋体" w:hAnsi="宋体"/>
          <w:b/>
          <w:szCs w:val="24"/>
        </w:rPr>
        <w:t>2、产品要求：</w:t>
      </w:r>
      <w:r>
        <w:rPr>
          <w:rFonts w:hint="eastAsia" w:ascii="宋体" w:hAnsi="宋体"/>
          <w:szCs w:val="24"/>
        </w:rPr>
        <w:t>产品必须是全新、未使用过的原装合格正品，完全符合磋商文件规定的质量、规格和参数的要求，达到国家或行业规定的标准，实行生产许可证制度的，应提供生产许可证；属于国家强制认证的产品，必须通过认证。</w:t>
      </w:r>
    </w:p>
    <w:p>
      <w:pPr>
        <w:snapToGrid w:val="0"/>
        <w:spacing w:line="360" w:lineRule="auto"/>
        <w:ind w:firstLine="480" w:firstLineChars="200"/>
        <w:textAlignment w:val="baseline"/>
        <w:rPr>
          <w:rFonts w:ascii="宋体" w:hAnsi="宋体"/>
          <w:b/>
          <w:sz w:val="24"/>
          <w:szCs w:val="24"/>
        </w:rPr>
      </w:pPr>
      <w:r>
        <w:rPr>
          <w:rFonts w:hint="eastAsia" w:ascii="宋体" w:hAnsi="宋体"/>
          <w:b/>
          <w:sz w:val="24"/>
          <w:szCs w:val="24"/>
        </w:rPr>
        <w:t>3、技术响应要求</w:t>
      </w:r>
    </w:p>
    <w:p>
      <w:pPr>
        <w:snapToGrid w:val="0"/>
        <w:spacing w:line="360" w:lineRule="auto"/>
        <w:ind w:firstLine="480" w:firstLineChars="200"/>
        <w:textAlignment w:val="baseline"/>
        <w:rPr>
          <w:rFonts w:ascii="宋体" w:hAnsi="宋体"/>
          <w:sz w:val="24"/>
          <w:szCs w:val="24"/>
        </w:rPr>
      </w:pPr>
      <w:r>
        <w:rPr>
          <w:rFonts w:ascii="宋体" w:hAnsi="宋体"/>
          <w:sz w:val="24"/>
          <w:szCs w:val="24"/>
        </w:rPr>
        <w:t>技术响应文件中须对应每个项目作出响应，</w:t>
      </w:r>
      <w:r>
        <w:rPr>
          <w:bCs/>
          <w:sz w:val="24"/>
          <w:szCs w:val="24"/>
        </w:rPr>
        <w:t>不得有缺陷或漏项</w:t>
      </w:r>
      <w:r>
        <w:rPr>
          <w:rFonts w:hint="eastAsia"/>
          <w:bCs/>
          <w:sz w:val="24"/>
          <w:szCs w:val="24"/>
        </w:rPr>
        <w:t>，</w:t>
      </w:r>
      <w:r>
        <w:rPr>
          <w:rFonts w:ascii="宋体" w:hAnsi="宋体"/>
          <w:sz w:val="24"/>
          <w:szCs w:val="24"/>
        </w:rPr>
        <w:t>明确注明所投产品的</w:t>
      </w:r>
      <w:r>
        <w:rPr>
          <w:rFonts w:hint="eastAsia" w:ascii="宋体" w:hAnsi="宋体"/>
          <w:sz w:val="24"/>
          <w:szCs w:val="24"/>
        </w:rPr>
        <w:t>名称</w:t>
      </w:r>
      <w:r>
        <w:rPr>
          <w:rFonts w:ascii="宋体" w:hAnsi="宋体"/>
          <w:sz w:val="24"/>
          <w:szCs w:val="24"/>
        </w:rPr>
        <w:t>、技术参数、及数量</w:t>
      </w:r>
      <w:r>
        <w:rPr>
          <w:rFonts w:hint="eastAsia" w:ascii="宋体" w:hAnsi="宋体"/>
          <w:sz w:val="24"/>
          <w:szCs w:val="24"/>
        </w:rPr>
        <w:t>等</w:t>
      </w:r>
      <w:r>
        <w:rPr>
          <w:rFonts w:ascii="宋体" w:hAnsi="宋体"/>
          <w:sz w:val="24"/>
          <w:szCs w:val="24"/>
        </w:rPr>
        <w:t>，</w:t>
      </w:r>
      <w:r>
        <w:rPr>
          <w:rFonts w:hint="eastAsia" w:ascii="宋体" w:hAnsi="宋体"/>
          <w:sz w:val="24"/>
          <w:szCs w:val="24"/>
        </w:rPr>
        <w:t>否则有可能被视为未实质性响应磋商文件要求而作无效投标处理。</w:t>
      </w:r>
    </w:p>
    <w:p>
      <w:pPr>
        <w:snapToGrid w:val="0"/>
        <w:spacing w:line="360" w:lineRule="auto"/>
        <w:ind w:firstLine="480" w:firstLineChars="200"/>
        <w:textAlignment w:val="baseline"/>
        <w:rPr>
          <w:rFonts w:ascii="宋体" w:hAnsi="宋体"/>
          <w:b/>
          <w:sz w:val="24"/>
          <w:szCs w:val="24"/>
        </w:rPr>
      </w:pPr>
      <w:r>
        <w:rPr>
          <w:rFonts w:hint="eastAsia" w:ascii="宋体" w:hAnsi="宋体"/>
          <w:b/>
          <w:sz w:val="24"/>
          <w:szCs w:val="24"/>
        </w:rPr>
        <w:t>4、</w:t>
      </w:r>
      <w:r>
        <w:rPr>
          <w:rFonts w:ascii="宋体" w:hAnsi="宋体"/>
          <w:b/>
          <w:sz w:val="24"/>
          <w:szCs w:val="24"/>
        </w:rPr>
        <w:t>知识产权</w:t>
      </w:r>
    </w:p>
    <w:p>
      <w:pPr>
        <w:snapToGrid w:val="0"/>
        <w:spacing w:line="360" w:lineRule="auto"/>
        <w:ind w:firstLine="480" w:firstLineChars="200"/>
        <w:textAlignment w:val="baseline"/>
        <w:rPr>
          <w:sz w:val="24"/>
          <w:szCs w:val="24"/>
        </w:rPr>
      </w:pPr>
      <w:r>
        <w:rPr>
          <w:rFonts w:hint="eastAsia" w:ascii="宋体" w:hAnsi="宋体"/>
          <w:sz w:val="24"/>
          <w:szCs w:val="24"/>
        </w:rPr>
        <w:t>成交供应商</w:t>
      </w:r>
      <w:r>
        <w:rPr>
          <w:rFonts w:ascii="宋体" w:hAnsi="宋体"/>
          <w:sz w:val="24"/>
          <w:szCs w:val="24"/>
        </w:rPr>
        <w:t>应保证本项目采购人及</w:t>
      </w:r>
      <w:r>
        <w:rPr>
          <w:rFonts w:hint="eastAsia" w:ascii="宋体" w:hAnsi="宋体"/>
          <w:sz w:val="24"/>
          <w:szCs w:val="24"/>
        </w:rPr>
        <w:t>使用人</w:t>
      </w:r>
      <w:r>
        <w:rPr>
          <w:rFonts w:ascii="宋体" w:hAnsi="宋体"/>
          <w:sz w:val="24"/>
          <w:szCs w:val="24"/>
        </w:rPr>
        <w:t>在使用本项目合同标的物的任何部分均不受第三方关于侵犯其所有权，专利权、商标权等一切可能的知识产权侵权的指控。采购人因此而受到的全部损失包括对第三方的任何赔偿、补偿、垫付的款项以及应对指控而支出的全部费用，均由</w:t>
      </w:r>
      <w:r>
        <w:rPr>
          <w:rFonts w:hint="eastAsia" w:ascii="宋体" w:hAnsi="宋体"/>
          <w:sz w:val="24"/>
          <w:szCs w:val="24"/>
        </w:rPr>
        <w:t>成交供应商</w:t>
      </w:r>
      <w:r>
        <w:rPr>
          <w:rFonts w:ascii="宋体" w:hAnsi="宋体"/>
          <w:sz w:val="24"/>
          <w:szCs w:val="24"/>
        </w:rPr>
        <w:t>承担。</w:t>
      </w:r>
    </w:p>
    <w:p>
      <w:pPr>
        <w:snapToGrid w:val="0"/>
        <w:spacing w:line="360" w:lineRule="auto"/>
        <w:ind w:firstLine="480" w:firstLineChars="200"/>
        <w:textAlignment w:val="baseline"/>
        <w:rPr>
          <w:b/>
          <w:bCs/>
          <w:sz w:val="24"/>
          <w:szCs w:val="24"/>
        </w:rPr>
      </w:pPr>
      <w:r>
        <w:rPr>
          <w:b/>
          <w:bCs/>
          <w:sz w:val="24"/>
          <w:szCs w:val="24"/>
        </w:rPr>
        <w:t>二、采购范围</w:t>
      </w:r>
    </w:p>
    <w:p>
      <w:pPr>
        <w:snapToGrid w:val="0"/>
        <w:spacing w:line="360" w:lineRule="auto"/>
        <w:ind w:firstLine="480" w:firstLineChars="200"/>
        <w:textAlignment w:val="baseline"/>
        <w:rPr>
          <w:bCs/>
          <w:sz w:val="24"/>
          <w:szCs w:val="24"/>
        </w:rPr>
      </w:pPr>
      <w:r>
        <w:rPr>
          <w:bCs/>
          <w:sz w:val="24"/>
          <w:szCs w:val="24"/>
        </w:rPr>
        <w:t>项目需求的产品的规格、材质、数量、技术要求、设计和制造标准均为技术先进、产品优质的全新合格产品，并且是从设计、制造、包装、运输到采购人指定地点、负责</w:t>
      </w:r>
      <w:r>
        <w:rPr>
          <w:rFonts w:hint="eastAsia"/>
          <w:bCs/>
          <w:sz w:val="24"/>
          <w:szCs w:val="24"/>
        </w:rPr>
        <w:t>供货</w:t>
      </w:r>
      <w:r>
        <w:rPr>
          <w:bCs/>
          <w:sz w:val="24"/>
          <w:szCs w:val="24"/>
        </w:rPr>
        <w:t>、验收及质保的完整性产品项目。</w:t>
      </w:r>
    </w:p>
    <w:bookmarkEnd w:id="78"/>
    <w:p>
      <w:pPr>
        <w:numPr>
          <w:ilvl w:val="0"/>
          <w:numId w:val="7"/>
        </w:numPr>
        <w:snapToGrid w:val="0"/>
        <w:spacing w:line="360" w:lineRule="auto"/>
        <w:ind w:firstLine="460" w:firstLineChars="192"/>
        <w:textAlignment w:val="baseline"/>
        <w:rPr>
          <w:b/>
          <w:bCs/>
          <w:sz w:val="24"/>
          <w:szCs w:val="24"/>
        </w:rPr>
      </w:pPr>
      <w:r>
        <w:rPr>
          <w:b/>
          <w:bCs/>
          <w:sz w:val="24"/>
          <w:szCs w:val="24"/>
        </w:rPr>
        <w:t>项目需求</w:t>
      </w:r>
      <w:r>
        <w:rPr>
          <w:rFonts w:hint="eastAsia"/>
          <w:b/>
          <w:bCs/>
          <w:sz w:val="24"/>
          <w:szCs w:val="24"/>
        </w:rPr>
        <w:t>产品</w:t>
      </w:r>
      <w:r>
        <w:rPr>
          <w:b/>
          <w:bCs/>
          <w:sz w:val="24"/>
          <w:szCs w:val="24"/>
        </w:rPr>
        <w:t>清单</w:t>
      </w:r>
      <w:r>
        <w:rPr>
          <w:rFonts w:hint="eastAsia"/>
          <w:b/>
          <w:bCs/>
          <w:sz w:val="24"/>
          <w:szCs w:val="24"/>
        </w:rPr>
        <w:t>一览表</w:t>
      </w:r>
    </w:p>
    <w:p>
      <w:pPr>
        <w:pStyle w:val="2"/>
        <w:snapToGrid w:val="0"/>
        <w:ind w:firstLine="482"/>
        <w:textAlignment w:val="baseline"/>
        <w:rPr>
          <w:rFonts w:ascii="宋体" w:hAnsi="宋体" w:cs="宋体"/>
          <w:sz w:val="21"/>
        </w:rPr>
      </w:pPr>
      <w:r>
        <w:rPr>
          <w:rFonts w:hint="eastAsia" w:ascii="宋体" w:hAnsi="宋体" w:cs="宋体"/>
          <w:b/>
          <w:bCs/>
          <w:szCs w:val="24"/>
          <w:lang w:eastAsia="zh-CN"/>
        </w:rPr>
        <w:t>（</w:t>
      </w:r>
      <w:r>
        <w:rPr>
          <w:rFonts w:hint="eastAsia" w:ascii="宋体" w:hAnsi="宋体" w:cs="宋体"/>
          <w:b/>
          <w:bCs/>
          <w:szCs w:val="24"/>
          <w:lang w:val="en-US" w:eastAsia="zh-CN"/>
        </w:rPr>
        <w:t>一）</w:t>
      </w:r>
      <w:r>
        <w:rPr>
          <w:rFonts w:hint="eastAsia" w:ascii="宋体" w:hAnsi="宋体" w:cs="宋体"/>
          <w:b/>
          <w:bCs/>
          <w:szCs w:val="24"/>
        </w:rPr>
        <w:t>、智能枪弹柜</w:t>
      </w:r>
    </w:p>
    <w:tbl>
      <w:tblPr>
        <w:tblStyle w:val="51"/>
        <w:tblW w:w="7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74"/>
        <w:gridCol w:w="2692"/>
        <w:gridCol w:w="84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5" w:type="dxa"/>
          </w:tcPr>
          <w:p>
            <w:pPr>
              <w:snapToGrid w:val="0"/>
              <w:spacing w:line="360" w:lineRule="auto"/>
              <w:jc w:val="center"/>
              <w:textAlignment w:val="baseline"/>
              <w:rPr>
                <w:rFonts w:ascii="宋体" w:hAnsi="宋体"/>
                <w:sz w:val="24"/>
                <w:szCs w:val="24"/>
              </w:rPr>
            </w:pPr>
            <w:r>
              <w:rPr>
                <w:rFonts w:hint="eastAsia" w:ascii="宋体" w:hAnsi="宋体"/>
                <w:sz w:val="24"/>
                <w:szCs w:val="24"/>
              </w:rPr>
              <w:t>序号</w:t>
            </w:r>
          </w:p>
        </w:tc>
        <w:tc>
          <w:tcPr>
            <w:tcW w:w="2274" w:type="dxa"/>
          </w:tcPr>
          <w:p>
            <w:pPr>
              <w:snapToGrid w:val="0"/>
              <w:spacing w:line="360" w:lineRule="auto"/>
              <w:jc w:val="center"/>
              <w:textAlignment w:val="baseline"/>
              <w:rPr>
                <w:rFonts w:ascii="宋体" w:hAnsi="宋体"/>
                <w:sz w:val="24"/>
                <w:szCs w:val="24"/>
              </w:rPr>
            </w:pPr>
            <w:r>
              <w:rPr>
                <w:rFonts w:hint="eastAsia" w:ascii="宋体" w:hAnsi="宋体"/>
                <w:sz w:val="24"/>
                <w:szCs w:val="24"/>
              </w:rPr>
              <w:t>设备名称</w:t>
            </w:r>
          </w:p>
        </w:tc>
        <w:tc>
          <w:tcPr>
            <w:tcW w:w="2692" w:type="dxa"/>
            <w:vAlign w:val="center"/>
          </w:tcPr>
          <w:p>
            <w:pPr>
              <w:snapToGrid w:val="0"/>
              <w:spacing w:line="360" w:lineRule="auto"/>
              <w:jc w:val="center"/>
              <w:textAlignment w:val="baseline"/>
              <w:rPr>
                <w:rFonts w:ascii="宋体" w:hAnsi="宋体"/>
                <w:sz w:val="24"/>
                <w:szCs w:val="24"/>
              </w:rPr>
            </w:pPr>
            <w:r>
              <w:rPr>
                <w:rFonts w:hint="eastAsia" w:ascii="宋体" w:hAnsi="宋体"/>
                <w:sz w:val="24"/>
                <w:szCs w:val="24"/>
              </w:rPr>
              <w:t>详细参数</w:t>
            </w:r>
          </w:p>
        </w:tc>
        <w:tc>
          <w:tcPr>
            <w:tcW w:w="849" w:type="dxa"/>
          </w:tcPr>
          <w:p>
            <w:pPr>
              <w:snapToGrid w:val="0"/>
              <w:spacing w:line="360" w:lineRule="auto"/>
              <w:jc w:val="center"/>
              <w:textAlignment w:val="baseline"/>
              <w:rPr>
                <w:rFonts w:ascii="宋体" w:hAnsi="宋体"/>
                <w:sz w:val="24"/>
                <w:szCs w:val="24"/>
              </w:rPr>
            </w:pPr>
            <w:r>
              <w:rPr>
                <w:rFonts w:hint="eastAsia" w:ascii="宋体" w:hAnsi="宋体"/>
                <w:sz w:val="24"/>
                <w:szCs w:val="24"/>
              </w:rPr>
              <w:t>单位</w:t>
            </w:r>
          </w:p>
        </w:tc>
        <w:tc>
          <w:tcPr>
            <w:tcW w:w="959" w:type="dxa"/>
          </w:tcPr>
          <w:p>
            <w:pPr>
              <w:snapToGrid w:val="0"/>
              <w:spacing w:line="360" w:lineRule="auto"/>
              <w:jc w:val="center"/>
              <w:textAlignment w:val="baseline"/>
              <w:rPr>
                <w:rFonts w:ascii="宋体" w:hAnsi="宋体"/>
                <w:sz w:val="24"/>
                <w:szCs w:val="24"/>
              </w:rPr>
            </w:pPr>
            <w:r>
              <w:rPr>
                <w:rFonts w:hint="eastAsia" w:ascii="宋体" w:hAnsi="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95" w:type="dxa"/>
            <w:vAlign w:val="center"/>
          </w:tcPr>
          <w:p>
            <w:pPr>
              <w:snapToGrid w:val="0"/>
              <w:spacing w:line="360" w:lineRule="auto"/>
              <w:jc w:val="center"/>
              <w:textAlignment w:val="baseline"/>
              <w:rPr>
                <w:rFonts w:ascii="宋体" w:hAnsi="宋体"/>
                <w:sz w:val="24"/>
                <w:szCs w:val="24"/>
              </w:rPr>
            </w:pPr>
            <w:r>
              <w:rPr>
                <w:rFonts w:hint="eastAsia" w:ascii="宋体" w:hAnsi="宋体"/>
                <w:sz w:val="24"/>
                <w:szCs w:val="24"/>
              </w:rPr>
              <w:t>1</w:t>
            </w:r>
          </w:p>
        </w:tc>
        <w:tc>
          <w:tcPr>
            <w:tcW w:w="2274" w:type="dxa"/>
            <w:vAlign w:val="center"/>
          </w:tcPr>
          <w:p>
            <w:pPr>
              <w:snapToGrid w:val="0"/>
              <w:spacing w:line="360" w:lineRule="auto"/>
              <w:jc w:val="center"/>
              <w:textAlignment w:val="baseline"/>
              <w:rPr>
                <w:sz w:val="24"/>
                <w:szCs w:val="24"/>
              </w:rPr>
            </w:pPr>
            <w:r>
              <w:rPr>
                <w:rFonts w:hint="eastAsia"/>
                <w:sz w:val="24"/>
                <w:szCs w:val="24"/>
              </w:rPr>
              <w:t>智能枪弹柜</w:t>
            </w:r>
          </w:p>
          <w:p>
            <w:pPr>
              <w:snapToGrid w:val="0"/>
              <w:spacing w:line="360" w:lineRule="auto"/>
              <w:jc w:val="center"/>
              <w:textAlignment w:val="baseline"/>
              <w:rPr>
                <w:sz w:val="20"/>
              </w:rPr>
            </w:pPr>
            <w:r>
              <w:rPr>
                <w:rFonts w:hint="eastAsia" w:ascii="宋体" w:hAnsi="宋体" w:cs="宋体"/>
                <w:sz w:val="24"/>
                <w:szCs w:val="24"/>
                <w:highlight w:val="magenta"/>
              </w:rPr>
              <w:t>（核心产品）</w:t>
            </w:r>
          </w:p>
        </w:tc>
        <w:tc>
          <w:tcPr>
            <w:tcW w:w="2692" w:type="dxa"/>
            <w:vAlign w:val="center"/>
          </w:tcPr>
          <w:p>
            <w:pPr>
              <w:snapToGrid w:val="0"/>
              <w:spacing w:line="360" w:lineRule="auto"/>
              <w:jc w:val="center"/>
              <w:textAlignment w:val="baseline"/>
              <w:rPr>
                <w:rFonts w:ascii="宋体" w:hAnsi="宋体"/>
                <w:sz w:val="24"/>
                <w:szCs w:val="24"/>
              </w:rPr>
            </w:pPr>
            <w:r>
              <w:rPr>
                <w:rFonts w:hint="eastAsia" w:ascii="宋体" w:hAnsi="宋体"/>
                <w:sz w:val="24"/>
                <w:szCs w:val="24"/>
              </w:rPr>
              <w:t>详见产品技术要求</w:t>
            </w:r>
          </w:p>
        </w:tc>
        <w:tc>
          <w:tcPr>
            <w:tcW w:w="849" w:type="dxa"/>
            <w:vAlign w:val="center"/>
          </w:tcPr>
          <w:p>
            <w:pPr>
              <w:snapToGrid w:val="0"/>
              <w:spacing w:line="360" w:lineRule="auto"/>
              <w:jc w:val="center"/>
              <w:textAlignment w:val="baseline"/>
              <w:rPr>
                <w:rFonts w:ascii="宋体" w:hAnsi="宋体"/>
                <w:sz w:val="24"/>
                <w:szCs w:val="24"/>
              </w:rPr>
            </w:pPr>
            <w:r>
              <w:rPr>
                <w:rFonts w:hint="eastAsia" w:ascii="宋体" w:hAnsi="宋体"/>
                <w:sz w:val="24"/>
                <w:szCs w:val="24"/>
              </w:rPr>
              <w:t>套</w:t>
            </w:r>
          </w:p>
        </w:tc>
        <w:tc>
          <w:tcPr>
            <w:tcW w:w="959" w:type="dxa"/>
            <w:vAlign w:val="center"/>
          </w:tcPr>
          <w:p>
            <w:pPr>
              <w:snapToGrid w:val="0"/>
              <w:spacing w:line="360" w:lineRule="auto"/>
              <w:jc w:val="center"/>
              <w:textAlignment w:val="baseline"/>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95" w:type="dxa"/>
          </w:tcPr>
          <w:p>
            <w:pPr>
              <w:snapToGrid w:val="0"/>
              <w:spacing w:line="360" w:lineRule="auto"/>
              <w:jc w:val="center"/>
              <w:textAlignment w:val="baseline"/>
              <w:rPr>
                <w:rFonts w:ascii="宋体" w:hAnsi="宋体"/>
                <w:sz w:val="24"/>
                <w:szCs w:val="24"/>
              </w:rPr>
            </w:pPr>
            <w:r>
              <w:rPr>
                <w:rFonts w:hint="eastAsia" w:ascii="宋体" w:hAnsi="宋体"/>
                <w:sz w:val="24"/>
                <w:szCs w:val="24"/>
              </w:rPr>
              <w:t>2</w:t>
            </w:r>
          </w:p>
        </w:tc>
        <w:tc>
          <w:tcPr>
            <w:tcW w:w="2274" w:type="dxa"/>
            <w:vAlign w:val="center"/>
          </w:tcPr>
          <w:p>
            <w:pPr>
              <w:snapToGrid w:val="0"/>
              <w:spacing w:line="360" w:lineRule="auto"/>
              <w:jc w:val="center"/>
              <w:textAlignment w:val="baseline"/>
              <w:rPr>
                <w:rFonts w:ascii="宋体" w:hAnsi="宋体"/>
                <w:sz w:val="24"/>
                <w:szCs w:val="24"/>
              </w:rPr>
            </w:pPr>
            <w:r>
              <w:rPr>
                <w:rFonts w:hint="eastAsia" w:ascii="宋体" w:hAnsi="宋体"/>
                <w:sz w:val="24"/>
                <w:szCs w:val="24"/>
              </w:rPr>
              <w:t>智能枪弹控制软件</w:t>
            </w:r>
          </w:p>
        </w:tc>
        <w:tc>
          <w:tcPr>
            <w:tcW w:w="2692" w:type="dxa"/>
            <w:vAlign w:val="center"/>
          </w:tcPr>
          <w:p>
            <w:pPr>
              <w:snapToGrid w:val="0"/>
              <w:spacing w:line="360" w:lineRule="auto"/>
              <w:jc w:val="center"/>
              <w:textAlignment w:val="baseline"/>
              <w:rPr>
                <w:rFonts w:ascii="宋体" w:hAnsi="宋体"/>
                <w:sz w:val="24"/>
                <w:szCs w:val="24"/>
              </w:rPr>
            </w:pPr>
            <w:r>
              <w:rPr>
                <w:rFonts w:hint="eastAsia" w:ascii="宋体" w:hAnsi="宋体"/>
                <w:sz w:val="24"/>
                <w:szCs w:val="24"/>
              </w:rPr>
              <w:t>详见产品技术要求</w:t>
            </w:r>
          </w:p>
        </w:tc>
        <w:tc>
          <w:tcPr>
            <w:tcW w:w="849" w:type="dxa"/>
          </w:tcPr>
          <w:p>
            <w:pPr>
              <w:snapToGrid w:val="0"/>
              <w:spacing w:line="360" w:lineRule="auto"/>
              <w:jc w:val="center"/>
              <w:textAlignment w:val="baseline"/>
              <w:rPr>
                <w:rFonts w:ascii="宋体" w:hAnsi="宋体"/>
                <w:sz w:val="24"/>
                <w:szCs w:val="24"/>
              </w:rPr>
            </w:pPr>
            <w:r>
              <w:rPr>
                <w:rFonts w:hint="eastAsia" w:ascii="宋体" w:hAnsi="宋体"/>
                <w:sz w:val="24"/>
                <w:szCs w:val="24"/>
              </w:rPr>
              <w:t>套</w:t>
            </w:r>
          </w:p>
        </w:tc>
        <w:tc>
          <w:tcPr>
            <w:tcW w:w="959" w:type="dxa"/>
            <w:vAlign w:val="center"/>
          </w:tcPr>
          <w:p>
            <w:pPr>
              <w:snapToGrid w:val="0"/>
              <w:spacing w:line="360" w:lineRule="auto"/>
              <w:jc w:val="center"/>
              <w:textAlignment w:val="baseline"/>
              <w:rPr>
                <w:rFonts w:ascii="宋体" w:hAnsi="宋体"/>
                <w:sz w:val="24"/>
                <w:szCs w:val="24"/>
              </w:rPr>
            </w:pPr>
            <w:r>
              <w:rPr>
                <w:rFonts w:hint="eastAsia" w:ascii="宋体" w:hAnsi="宋体"/>
                <w:sz w:val="24"/>
                <w:szCs w:val="24"/>
              </w:rPr>
              <w:t>1</w:t>
            </w:r>
          </w:p>
        </w:tc>
      </w:tr>
    </w:tbl>
    <w:p>
      <w:pPr>
        <w:snapToGrid w:val="0"/>
        <w:spacing w:line="360" w:lineRule="auto"/>
        <w:ind w:firstLine="480" w:firstLineChars="200"/>
        <w:textAlignment w:val="baseline"/>
        <w:rPr>
          <w:b/>
          <w:bCs/>
          <w:sz w:val="24"/>
          <w:szCs w:val="24"/>
        </w:rPr>
      </w:pPr>
      <w:r>
        <w:rPr>
          <w:rFonts w:hint="eastAsia"/>
          <w:b/>
          <w:bCs/>
          <w:sz w:val="24"/>
          <w:szCs w:val="24"/>
          <w:lang w:val="en-US" w:eastAsia="zh-CN"/>
        </w:rPr>
        <w:t>1</w:t>
      </w:r>
      <w:r>
        <w:rPr>
          <w:rFonts w:hint="eastAsia"/>
          <w:b/>
          <w:bCs/>
          <w:sz w:val="24"/>
          <w:szCs w:val="24"/>
        </w:rPr>
        <w:t>、产品技术要求：</w:t>
      </w:r>
    </w:p>
    <w:p>
      <w:pPr>
        <w:numPr>
          <w:ilvl w:val="0"/>
          <w:numId w:val="8"/>
        </w:numPr>
        <w:snapToGrid w:val="0"/>
        <w:spacing w:line="360" w:lineRule="auto"/>
        <w:ind w:firstLine="480" w:firstLineChars="200"/>
        <w:textAlignment w:val="baseline"/>
        <w:rPr>
          <w:rFonts w:cs="仿宋_GB2312"/>
          <w:sz w:val="24"/>
          <w:szCs w:val="24"/>
        </w:rPr>
      </w:pPr>
      <w:r>
        <w:rPr>
          <w:rFonts w:hint="eastAsia" w:cs="仿宋_GB2312"/>
          <w:sz w:val="24"/>
          <w:szCs w:val="24"/>
        </w:rPr>
        <w:t>智能枪弹柜</w:t>
      </w:r>
      <w:r>
        <w:rPr>
          <w:rFonts w:hint="eastAsia" w:cs="仿宋_GB2312"/>
          <w:sz w:val="24"/>
          <w:szCs w:val="24"/>
          <w:lang w:val="zh-TW" w:eastAsia="zh-TW"/>
        </w:rPr>
        <w:t>柜体要求：优质低合金高强度结构钢板，门板料厚</w:t>
      </w:r>
      <w:r>
        <w:rPr>
          <w:rFonts w:cs="仿宋_GB2312"/>
          <w:sz w:val="24"/>
          <w:szCs w:val="24"/>
          <w:lang w:eastAsia="zh-TW"/>
        </w:rPr>
        <w:t>≥</w:t>
      </w:r>
      <w:r>
        <w:rPr>
          <w:rFonts w:hint="eastAsia" w:cs="仿宋_GB2312"/>
          <w:sz w:val="24"/>
          <w:szCs w:val="24"/>
        </w:rPr>
        <w:t>8</w:t>
      </w:r>
      <w:r>
        <w:rPr>
          <w:rFonts w:hint="eastAsia" w:cs="仿宋_GB2312"/>
          <w:sz w:val="24"/>
          <w:szCs w:val="24"/>
          <w:lang w:eastAsia="zh-TW"/>
        </w:rPr>
        <w:t>mm</w:t>
      </w:r>
      <w:r>
        <w:rPr>
          <w:rFonts w:hint="eastAsia" w:cs="仿宋_GB2312"/>
          <w:sz w:val="24"/>
          <w:szCs w:val="24"/>
          <w:lang w:val="zh-TW" w:eastAsia="zh-TW"/>
        </w:rPr>
        <w:t>，柜体料厚</w:t>
      </w:r>
      <w:r>
        <w:rPr>
          <w:rFonts w:cs="仿宋_GB2312"/>
          <w:sz w:val="24"/>
          <w:szCs w:val="24"/>
          <w:lang w:eastAsia="zh-TW"/>
        </w:rPr>
        <w:t>≥</w:t>
      </w:r>
      <w:r>
        <w:rPr>
          <w:rFonts w:hint="eastAsia" w:cs="仿宋_GB2312"/>
          <w:sz w:val="24"/>
          <w:szCs w:val="24"/>
          <w:lang w:eastAsia="zh-TW"/>
        </w:rPr>
        <w:t>6mm</w:t>
      </w:r>
      <w:r>
        <w:rPr>
          <w:rFonts w:hint="eastAsia" w:cs="仿宋_GB2312"/>
          <w:sz w:val="24"/>
          <w:szCs w:val="24"/>
          <w:lang w:val="zh-TW" w:eastAsia="zh-TW"/>
        </w:rPr>
        <w:t>，联动互锁双开门，左右双开门、每门</w:t>
      </w:r>
      <w:r>
        <w:rPr>
          <w:rFonts w:hint="eastAsia" w:cs="仿宋_GB2312"/>
          <w:sz w:val="24"/>
          <w:szCs w:val="24"/>
          <w:lang w:eastAsia="zh-TW"/>
        </w:rPr>
        <w:t>6</w:t>
      </w:r>
      <w:r>
        <w:rPr>
          <w:rFonts w:hint="eastAsia" w:cs="仿宋_GB2312"/>
          <w:sz w:val="24"/>
          <w:szCs w:val="24"/>
          <w:lang w:val="zh-TW" w:eastAsia="zh-TW"/>
        </w:rPr>
        <w:t>个门栓、共</w:t>
      </w:r>
      <w:r>
        <w:rPr>
          <w:rFonts w:hint="eastAsia" w:cs="仿宋_GB2312"/>
          <w:sz w:val="24"/>
          <w:szCs w:val="24"/>
          <w:lang w:eastAsia="zh-TW"/>
        </w:rPr>
        <w:t>12</w:t>
      </w:r>
      <w:r>
        <w:rPr>
          <w:rFonts w:hint="eastAsia" w:cs="仿宋_GB2312"/>
          <w:sz w:val="24"/>
          <w:szCs w:val="24"/>
          <w:lang w:val="zh-TW" w:eastAsia="zh-TW"/>
        </w:rPr>
        <w:t>门栓、 内门铰，抗拉强度必须大于</w:t>
      </w:r>
      <w:r>
        <w:rPr>
          <w:rFonts w:hint="eastAsia" w:cs="仿宋_GB2312"/>
          <w:sz w:val="24"/>
          <w:szCs w:val="24"/>
          <w:lang w:eastAsia="zh-TW"/>
        </w:rPr>
        <w:t>345MPA</w:t>
      </w:r>
      <w:r>
        <w:rPr>
          <w:rFonts w:hint="eastAsia" w:cs="仿宋_GB2312"/>
          <w:sz w:val="24"/>
          <w:szCs w:val="24"/>
        </w:rPr>
        <w:t>。</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lang w:val="zh-TW" w:eastAsia="zh-TW"/>
        </w:rPr>
        <w:t>柜体规格：</w:t>
      </w:r>
      <w:r>
        <w:rPr>
          <w:rFonts w:hint="eastAsia"/>
          <w:bCs/>
          <w:sz w:val="24"/>
          <w:szCs w:val="24"/>
          <w:lang w:val="zh-TW"/>
        </w:rPr>
        <w:t>尺寸≥高17</w:t>
      </w:r>
      <w:r>
        <w:rPr>
          <w:rFonts w:hint="eastAsia"/>
          <w:bCs/>
          <w:sz w:val="24"/>
          <w:szCs w:val="24"/>
          <w:lang w:val="zh-TW" w:eastAsia="zh-TW"/>
        </w:rPr>
        <w:t>00</w:t>
      </w:r>
      <w:r>
        <w:rPr>
          <w:rFonts w:hint="eastAsia"/>
          <w:bCs/>
          <w:sz w:val="24"/>
          <w:szCs w:val="24"/>
          <w:lang w:val="zh-TW"/>
        </w:rPr>
        <w:t>mm</w:t>
      </w:r>
      <w:r>
        <w:rPr>
          <w:rFonts w:hint="eastAsia"/>
          <w:bCs/>
          <w:sz w:val="24"/>
          <w:szCs w:val="24"/>
          <w:lang w:val="zh-TW" w:eastAsia="zh-TW"/>
        </w:rPr>
        <w:t>×</w:t>
      </w:r>
      <w:r>
        <w:rPr>
          <w:rFonts w:hint="eastAsia"/>
          <w:bCs/>
          <w:sz w:val="24"/>
          <w:szCs w:val="24"/>
          <w:lang w:val="zh-TW"/>
        </w:rPr>
        <w:t>宽10</w:t>
      </w:r>
      <w:r>
        <w:rPr>
          <w:rFonts w:hint="eastAsia"/>
          <w:bCs/>
          <w:sz w:val="24"/>
          <w:szCs w:val="24"/>
          <w:lang w:val="zh-TW" w:eastAsia="zh-TW"/>
        </w:rPr>
        <w:t>00mm×深</w:t>
      </w:r>
      <w:r>
        <w:rPr>
          <w:rFonts w:hint="eastAsia"/>
          <w:bCs/>
          <w:sz w:val="24"/>
          <w:szCs w:val="24"/>
          <w:lang w:val="zh-TW"/>
        </w:rPr>
        <w:t>500</w:t>
      </w:r>
      <w:r>
        <w:rPr>
          <w:rFonts w:hint="eastAsia"/>
          <w:bCs/>
          <w:sz w:val="24"/>
          <w:szCs w:val="24"/>
          <w:lang w:val="zh-TW" w:eastAsia="zh-TW"/>
        </w:rPr>
        <w:t>mm</w:t>
      </w:r>
      <w:r>
        <w:rPr>
          <w:rFonts w:hint="eastAsia"/>
          <w:bCs/>
          <w:sz w:val="24"/>
          <w:szCs w:val="24"/>
          <w:lang w:val="zh-TW"/>
        </w:rPr>
        <w:t>。</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lang w:val="zh-TW" w:eastAsia="zh-TW"/>
        </w:rPr>
        <w:t>配置：</w:t>
      </w:r>
      <w:r>
        <w:rPr>
          <w:rFonts w:hint="eastAsia" w:cs="仿宋_GB2312"/>
          <w:sz w:val="24"/>
          <w:szCs w:val="24"/>
          <w:lang w:val="zh-TW"/>
        </w:rPr>
        <w:t>20支短枪电子枪锁位</w:t>
      </w:r>
      <w:r>
        <w:rPr>
          <w:rFonts w:hint="eastAsia" w:cs="仿宋_GB2312"/>
          <w:sz w:val="24"/>
          <w:szCs w:val="24"/>
          <w:lang w:eastAsia="zh-TW"/>
        </w:rPr>
        <w:t>、</w:t>
      </w:r>
      <w:r>
        <w:rPr>
          <w:rFonts w:hint="eastAsia" w:cs="仿宋_GB2312"/>
          <w:sz w:val="24"/>
          <w:szCs w:val="24"/>
        </w:rPr>
        <w:t>4支长枪电子枪锁位、4个计数弹仓</w:t>
      </w:r>
      <w:r>
        <w:rPr>
          <w:rFonts w:hint="eastAsia" w:cs="仿宋_GB2312"/>
          <w:sz w:val="24"/>
          <w:szCs w:val="24"/>
          <w:lang w:val="zh-TW" w:eastAsia="zh-TW"/>
        </w:rPr>
        <w:t>。</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lang w:val="zh-TW" w:eastAsia="zh-TW"/>
        </w:rPr>
        <w:t>柜门配置电控锁和机械</w:t>
      </w:r>
      <w:r>
        <w:rPr>
          <w:rFonts w:hint="eastAsia" w:cs="仿宋_GB2312"/>
          <w:sz w:val="24"/>
          <w:szCs w:val="24"/>
          <w:lang w:eastAsia="zh-TW"/>
        </w:rPr>
        <w:t>2</w:t>
      </w:r>
      <w:r>
        <w:rPr>
          <w:rFonts w:hint="eastAsia" w:cs="仿宋_GB2312"/>
          <w:sz w:val="24"/>
          <w:szCs w:val="24"/>
          <w:lang w:val="zh-TW" w:eastAsia="zh-TW"/>
        </w:rPr>
        <w:t>种开柜方式；当停电或电控锁具故障时，可用备用钥匙开启机械应急锁开柜。正常通电情况下采用双机械钥匙开锁系统会自动报警。</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宋体"/>
          <w:sz w:val="24"/>
          <w:szCs w:val="24"/>
          <w:shd w:val="clear" w:color="auto" w:fill="FFFFFF"/>
        </w:rPr>
        <w:t>智能柜具有柜门启闭检测功能和机械钥匙开启柜门检测功能，支持电控方式和机械方式的上锁/解锁；为防止电控开启柜门后忘记关门，需要柜门在电控解锁后无开门动作的60秒内自动上锁；智能柜的柜门打开后，柜内指示灯自动亮起，指示警员操作；柜门关闭后指示灯自动关闭，以节省用电。</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rPr>
        <w:t>★显示屏：采</w:t>
      </w:r>
      <w:r>
        <w:rPr>
          <w:rFonts w:hint="eastAsia" w:cs="仿宋_GB2312"/>
          <w:sz w:val="24"/>
          <w:szCs w:val="24"/>
          <w:lang w:val="zh-TW" w:eastAsia="zh-TW"/>
        </w:rPr>
        <w:t>用</w:t>
      </w:r>
      <w:r>
        <w:rPr>
          <w:rFonts w:hint="eastAsia" w:cs="仿宋_GB2312"/>
          <w:sz w:val="24"/>
          <w:szCs w:val="24"/>
          <w:lang w:val="zh-TW"/>
        </w:rPr>
        <w:t>12</w:t>
      </w:r>
      <w:r>
        <w:rPr>
          <w:rFonts w:hint="eastAsia" w:cs="仿宋_GB2312"/>
          <w:sz w:val="24"/>
          <w:szCs w:val="24"/>
          <w:lang w:val="zh-TW" w:eastAsia="zh-TW"/>
        </w:rPr>
        <w:t>寸工业级触摸屏</w:t>
      </w:r>
      <w:r>
        <w:rPr>
          <w:rFonts w:hint="eastAsia" w:cs="仿宋_GB2312"/>
          <w:sz w:val="24"/>
          <w:szCs w:val="24"/>
          <w:lang w:val="zh-TW"/>
        </w:rPr>
        <w:t>，</w:t>
      </w:r>
      <w:r>
        <w:rPr>
          <w:rFonts w:hint="eastAsia" w:cs="仿宋_GB2312"/>
          <w:sz w:val="24"/>
          <w:szCs w:val="24"/>
        </w:rPr>
        <w:t>显示屏具有节能功能，市电断开转为备用电源时，显示屏亮度自动降低来减少功耗；市电正常后，自动恢复较高亮度。</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宋体"/>
          <w:sz w:val="24"/>
          <w:szCs w:val="24"/>
          <w:shd w:val="clear" w:color="auto" w:fill="FFFFFF"/>
        </w:rPr>
        <w:t>智能柜控制系统采用工业级TI ARM处理器，内置Linux实时操作系统。</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rPr>
        <w:t>唤醒功能：支持触摸唤醒、指纹探测唤醒两种模式，指纹探测唤醒后自动进行人员身份验证并进入枪支领用界面，身份验证不通过不唤醒屏幕。</w:t>
      </w:r>
    </w:p>
    <w:p>
      <w:pPr>
        <w:numPr>
          <w:ilvl w:val="0"/>
          <w:numId w:val="8"/>
        </w:numPr>
        <w:snapToGrid w:val="0"/>
        <w:spacing w:line="360" w:lineRule="auto"/>
        <w:ind w:firstLine="480" w:firstLineChars="200"/>
        <w:textAlignment w:val="baseline"/>
        <w:rPr>
          <w:rFonts w:cs="仿宋_GB2312"/>
          <w:sz w:val="24"/>
          <w:szCs w:val="24"/>
          <w:lang w:val="zh-TW"/>
        </w:rPr>
      </w:pPr>
      <w:r>
        <w:rPr>
          <w:rFonts w:hint="eastAsia" w:cs="仿宋_GB2312"/>
          <w:sz w:val="24"/>
          <w:szCs w:val="24"/>
        </w:rPr>
        <w:t>★身份识别：采用活体</w:t>
      </w:r>
      <w:r>
        <w:rPr>
          <w:rFonts w:hint="eastAsia" w:cs="仿宋_GB2312"/>
          <w:sz w:val="24"/>
          <w:szCs w:val="24"/>
          <w:lang w:val="zh-TW" w:eastAsia="zh-TW"/>
        </w:rPr>
        <w:t>指纹验证模式，</w:t>
      </w:r>
      <w:r>
        <w:rPr>
          <w:rFonts w:hint="eastAsia" w:cs="仿宋_GB2312"/>
          <w:sz w:val="24"/>
          <w:szCs w:val="24"/>
          <w:lang w:val="zh-TW"/>
        </w:rPr>
        <w:t>备用</w:t>
      </w:r>
      <w:r>
        <w:rPr>
          <w:rFonts w:hint="eastAsia" w:cs="仿宋_GB2312"/>
          <w:sz w:val="24"/>
          <w:szCs w:val="24"/>
          <w:lang w:val="zh-TW" w:eastAsia="zh-TW"/>
        </w:rPr>
        <w:t>人脸生物识别模式</w:t>
      </w:r>
      <w:r>
        <w:rPr>
          <w:rFonts w:hint="eastAsia" w:cs="仿宋_GB2312"/>
          <w:sz w:val="24"/>
          <w:szCs w:val="24"/>
          <w:lang w:val="zh-TW"/>
        </w:rPr>
        <w:t>。</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lang w:val="zh-TW" w:eastAsia="zh-TW"/>
        </w:rPr>
        <w:t>指纹不能使用时，可以用人脸代替方案。身份验证时，用户可以自由切换两种生物识别模式。并具有警员编号+动态码备用身份登陆模式。</w:t>
      </w:r>
    </w:p>
    <w:p>
      <w:pPr>
        <w:numPr>
          <w:ilvl w:val="0"/>
          <w:numId w:val="8"/>
        </w:numPr>
        <w:snapToGrid w:val="0"/>
        <w:spacing w:line="360" w:lineRule="auto"/>
        <w:ind w:firstLine="480" w:firstLineChars="200"/>
        <w:textAlignment w:val="baseline"/>
        <w:rPr>
          <w:rFonts w:cs="仿宋_GB2312"/>
          <w:sz w:val="24"/>
          <w:szCs w:val="24"/>
          <w:lang w:eastAsia="zh-TW"/>
        </w:rPr>
      </w:pPr>
      <w:r>
        <w:rPr>
          <w:rFonts w:hint="eastAsia" w:cs="仿宋_GB2312"/>
          <w:sz w:val="24"/>
          <w:szCs w:val="24"/>
          <w:lang w:val="zh-TW" w:eastAsia="zh-TW"/>
        </w:rPr>
        <w:t>指纹传感器须具有防刮擦、防水功能；人脸识别需要有图像回显提示、语音提示，协助使用人员完成识别，人脸显示屏上有时间显示并与智能柜时间同步，识别时记录被识别人脸的图像，以确保识别人员、时间。</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rPr>
        <w:t>★电子枪锁：采用按钮</w:t>
      </w:r>
      <w:r>
        <w:rPr>
          <w:rFonts w:hint="eastAsia" w:cs="仿宋_GB2312"/>
          <w:sz w:val="24"/>
          <w:szCs w:val="24"/>
          <w:lang w:val="zh-TW" w:eastAsia="zh-TW"/>
        </w:rPr>
        <w:t>按压关闭枪锁，以确保枪支扳机被正确锁闭；不能采用弹开式枪锁，以免枪锁开启的同时将手枪弹落到地上；电子枪锁集成电子枪支读取接口；具有外置双红外灯枪支在位检测功能，存放枪支时能够自动检测到枪支不在位，从而自动打开枪锁供用户存放枪支；异常取用枪支时，系统自动报警，同时枪支状态变为空；枪锁打开时，有指示灯闪烁提醒用户；紧急情况下，可以一把钥匙整排开启枪锁，快速完成枪支领用，同时也作为备用紧急用枪的机制</w:t>
      </w:r>
      <w:r>
        <w:rPr>
          <w:rFonts w:hint="eastAsia" w:cs="仿宋_GB2312"/>
          <w:sz w:val="24"/>
          <w:szCs w:val="24"/>
          <w:lang w:val="zh-TW"/>
        </w:rPr>
        <w:t>。</w:t>
      </w:r>
    </w:p>
    <w:p>
      <w:pPr>
        <w:numPr>
          <w:ilvl w:val="0"/>
          <w:numId w:val="8"/>
        </w:numPr>
        <w:snapToGrid w:val="0"/>
        <w:spacing w:line="360" w:lineRule="auto"/>
        <w:ind w:firstLine="480" w:firstLineChars="200"/>
        <w:textAlignment w:val="baseline"/>
        <w:rPr>
          <w:rFonts w:cs="仿宋_GB2312"/>
          <w:sz w:val="24"/>
          <w:szCs w:val="24"/>
        </w:rPr>
      </w:pPr>
      <w:r>
        <w:rPr>
          <w:rFonts w:hint="eastAsia" w:cs="仿宋_GB2312"/>
          <w:sz w:val="24"/>
          <w:szCs w:val="24"/>
          <w:lang w:val="zh-TW" w:eastAsia="zh-TW"/>
        </w:rPr>
        <w:t>电子枪证扩展功能：枪锁具有电子枪证读卡器物理接口，同时枪托具有电子枪证读卡天线放置空间，以便于后期电子枪证扩展。</w:t>
      </w:r>
    </w:p>
    <w:p>
      <w:pPr>
        <w:numPr>
          <w:ilvl w:val="0"/>
          <w:numId w:val="8"/>
        </w:numPr>
        <w:snapToGrid w:val="0"/>
        <w:spacing w:line="360" w:lineRule="auto"/>
        <w:ind w:firstLine="480" w:firstLineChars="200"/>
        <w:textAlignment w:val="baseline"/>
        <w:rPr>
          <w:rFonts w:cs="仿宋_GB2312"/>
          <w:sz w:val="24"/>
          <w:szCs w:val="24"/>
          <w:lang w:eastAsia="zh-TW"/>
        </w:rPr>
      </w:pPr>
      <w:r>
        <w:rPr>
          <w:rFonts w:hint="eastAsia" w:cs="仿宋_GB2312"/>
          <w:sz w:val="24"/>
          <w:szCs w:val="24"/>
        </w:rPr>
        <w:t>★计数子弹抽屉：自动计数功</w:t>
      </w:r>
      <w:r>
        <w:rPr>
          <w:rFonts w:hint="eastAsia" w:cs="宋体"/>
          <w:sz w:val="24"/>
          <w:szCs w:val="24"/>
        </w:rPr>
        <w:t>能：每位子弹抽屉能对盛放的子弹自动计数并显示，</w:t>
      </w:r>
      <w:r>
        <w:rPr>
          <w:rFonts w:hint="eastAsia" w:cs="仿宋_GB2312"/>
          <w:sz w:val="24"/>
          <w:szCs w:val="24"/>
        </w:rPr>
        <w:t>每位子弹抽屉应能存放7.62mm手枪子弹（铅心）应不少于1000发。</w:t>
      </w:r>
    </w:p>
    <w:p>
      <w:pPr>
        <w:numPr>
          <w:ilvl w:val="0"/>
          <w:numId w:val="8"/>
        </w:numPr>
        <w:snapToGrid w:val="0"/>
        <w:spacing w:line="360" w:lineRule="auto"/>
        <w:ind w:firstLine="480" w:firstLineChars="200"/>
        <w:textAlignment w:val="baseline"/>
        <w:rPr>
          <w:rFonts w:cs="仿宋_GB2312"/>
          <w:sz w:val="24"/>
          <w:szCs w:val="24"/>
          <w:lang w:eastAsia="zh-TW"/>
        </w:rPr>
      </w:pPr>
      <w:r>
        <w:rPr>
          <w:rFonts w:hint="eastAsia" w:cs="仿宋_GB2312"/>
          <w:sz w:val="24"/>
          <w:szCs w:val="24"/>
        </w:rPr>
        <w:t>快速切换警员：多个警员排队领取枪支时，不需要返回主界面，直接在枪支领取界面切换不同警员身份，自动适配不同警员订单，快速领取枪支。</w:t>
      </w:r>
    </w:p>
    <w:p>
      <w:pPr>
        <w:numPr>
          <w:ilvl w:val="0"/>
          <w:numId w:val="8"/>
        </w:numPr>
        <w:snapToGrid w:val="0"/>
        <w:spacing w:line="360" w:lineRule="auto"/>
        <w:ind w:firstLine="480" w:firstLineChars="200"/>
        <w:textAlignment w:val="baseline"/>
        <w:rPr>
          <w:rFonts w:cs="仿宋_GB2312"/>
          <w:sz w:val="24"/>
          <w:szCs w:val="24"/>
          <w:lang w:eastAsia="zh-TW"/>
        </w:rPr>
      </w:pPr>
      <w:r>
        <w:rPr>
          <w:rFonts w:hint="eastAsia" w:cs="仿宋_GB2312"/>
          <w:sz w:val="24"/>
          <w:szCs w:val="24"/>
          <w:lang w:val="zh-TW" w:eastAsia="zh-TW"/>
        </w:rPr>
        <w:t>温湿度管理：枪弹柜内置温湿度检测功能，并在系统主界面上实时显示当前温湿度数据；同时可增加除湿机模块，当湿度超限时，自动启动除湿功能，湿度低于安全阈值后自动关闭除湿机；当处于除湿工作模式时，系统主界面上除湿图标闪烁提示用户；系统出厂配置要求湿度满足《</w:t>
      </w:r>
      <w:r>
        <w:rPr>
          <w:rFonts w:hint="eastAsia" w:cs="仿宋_GB2312"/>
          <w:sz w:val="24"/>
          <w:szCs w:val="24"/>
          <w:lang w:eastAsia="zh-TW"/>
        </w:rPr>
        <w:t>GA 1051-2013</w:t>
      </w:r>
      <w:r>
        <w:rPr>
          <w:rFonts w:hint="eastAsia" w:cs="仿宋_GB2312"/>
          <w:sz w:val="24"/>
          <w:szCs w:val="24"/>
          <w:lang w:val="zh-TW" w:eastAsia="zh-TW"/>
        </w:rPr>
        <w:t>》标准的</w:t>
      </w:r>
      <w:r>
        <w:rPr>
          <w:rFonts w:hint="eastAsia" w:cs="仿宋_GB2312"/>
          <w:sz w:val="24"/>
          <w:szCs w:val="24"/>
          <w:lang w:eastAsia="zh-TW"/>
        </w:rPr>
        <w:t>70%</w:t>
      </w:r>
      <w:r>
        <w:rPr>
          <w:rFonts w:hint="eastAsia" w:cs="仿宋_GB2312"/>
          <w:sz w:val="24"/>
          <w:szCs w:val="24"/>
          <w:lang w:val="zh-TW" w:eastAsia="zh-TW"/>
        </w:rPr>
        <w:t>阈值。</w:t>
      </w:r>
    </w:p>
    <w:p>
      <w:pPr>
        <w:numPr>
          <w:ilvl w:val="0"/>
          <w:numId w:val="8"/>
        </w:numPr>
        <w:snapToGrid w:val="0"/>
        <w:spacing w:line="360" w:lineRule="auto"/>
        <w:ind w:firstLine="480" w:firstLineChars="200"/>
        <w:textAlignment w:val="baseline"/>
        <w:rPr>
          <w:rFonts w:cs="仿宋_GB2312"/>
          <w:sz w:val="24"/>
          <w:szCs w:val="24"/>
          <w:lang w:eastAsia="zh-TW"/>
        </w:rPr>
      </w:pPr>
      <w:r>
        <w:rPr>
          <w:rFonts w:hint="eastAsia" w:cs="仿宋_GB2312"/>
          <w:sz w:val="24"/>
          <w:szCs w:val="24"/>
        </w:rPr>
        <w:t>★视频图像：智能柜自带</w:t>
      </w:r>
      <w:r>
        <w:rPr>
          <w:rFonts w:hint="eastAsia"/>
          <w:sz w:val="24"/>
          <w:szCs w:val="24"/>
        </w:rPr>
        <w:t>低照度高清网络视频图像监控摄像头，开启柜门、系统重要设置都需要进行图像抓拍，抓拍的图像可以在智能柜的操作日志中查看。</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rPr>
        <w:t>数据存储：智能柜内置数据库，用于存储人员信息、操作信息、报警日志等，可超过1万以上存储量，并且存储满后自动覆盖存储。</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lang w:val="zh-TW" w:eastAsia="zh-TW"/>
        </w:rPr>
        <w:t>联网功能：出厂枪弹柜有联网功能，与全国枪支管理系统联网，根据实际情况用户可选择脱机方式使用，以免联网异常时报警影响值班室正常工作。</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sz w:val="24"/>
          <w:szCs w:val="24"/>
        </w:rPr>
        <w:t>智能柜控制软件主页具有枪弹领用、枪弹归还、紧急领用、系统设置等功能模块，方便操作人员使用。</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lang w:val="zh-TW" w:eastAsia="zh-TW"/>
        </w:rPr>
        <w:t>节能待机功能：长时间无人操作时，系统自动进入待机黑屏模式，以减少功耗，尤其是蓄电池使用时更加重要；</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lang w:val="zh-TW" w:eastAsia="zh-TW"/>
        </w:rPr>
        <w:t>枪弹柜门管理：系统能够识别枪弹柜门钥匙开启、柜门开关状态，并语音提醒、声光报警；柜门集成控制灯泡，当柜门打开时灯泡亮提示柜内亮度，柜门关闭时灯泡暗。</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rPr>
        <w:t>校时：脱机运行的智能柜具备手动校时功能；联网运行的智能柜具备自动网络校时功能。</w:t>
      </w:r>
    </w:p>
    <w:p>
      <w:pPr>
        <w:numPr>
          <w:ilvl w:val="0"/>
          <w:numId w:val="8"/>
        </w:numPr>
        <w:snapToGrid w:val="0"/>
        <w:spacing w:line="360" w:lineRule="auto"/>
        <w:ind w:firstLine="480" w:firstLineChars="200"/>
        <w:textAlignment w:val="baseline"/>
        <w:rPr>
          <w:rFonts w:cs="仿宋_GB2312"/>
          <w:sz w:val="24"/>
          <w:szCs w:val="24"/>
          <w:lang w:val="zh-TW" w:eastAsia="zh-TW"/>
        </w:rPr>
      </w:pPr>
      <w:r>
        <w:rPr>
          <w:rFonts w:hint="eastAsia" w:cs="仿宋_GB2312"/>
          <w:sz w:val="24"/>
          <w:szCs w:val="24"/>
          <w:lang w:val="zh-TW" w:eastAsia="zh-TW"/>
        </w:rPr>
        <w:t>电源管理：</w:t>
      </w:r>
      <w:r>
        <w:rPr>
          <w:rFonts w:hint="eastAsia"/>
          <w:sz w:val="24"/>
          <w:szCs w:val="24"/>
        </w:rPr>
        <w:t>采用交流220V-250V供电,柜体内部自带备用电源，在市电切断的情况下自动无缝切换至备用电源工作，同时系统主界面上多格显示电量余量；市电接通后，自动切换到市电供电模式，同时系统主界面上显示市电供电图标。备用电源应能支持系统连续运行8小时以上，并在该时段应能支持8次以上的正常操作。</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rPr>
      </w:pPr>
      <w:r>
        <w:rPr>
          <w:rFonts w:hint="eastAsia" w:cs="仿宋_GB2312"/>
          <w:sz w:val="24"/>
          <w:szCs w:val="24"/>
          <w:lang w:val="zh-TW" w:eastAsia="zh-TW"/>
        </w:rPr>
        <w:t>外部接口：枪弹柜外部一个航空电源插头、一个</w:t>
      </w:r>
      <w:r>
        <w:rPr>
          <w:rFonts w:hint="eastAsia" w:cs="仿宋_GB2312"/>
          <w:sz w:val="24"/>
          <w:szCs w:val="24"/>
          <w:lang w:eastAsia="zh-TW"/>
        </w:rPr>
        <w:t>RJ45</w:t>
      </w:r>
      <w:r>
        <w:rPr>
          <w:rFonts w:hint="eastAsia" w:cs="仿宋_GB2312"/>
          <w:sz w:val="24"/>
          <w:szCs w:val="24"/>
          <w:lang w:val="zh-TW" w:eastAsia="zh-TW"/>
        </w:rPr>
        <w:t>接口连接网络与枪弹柜管理平台软件联网。</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zh-TW"/>
        </w:rPr>
        <w:t>枪弹柜</w:t>
      </w:r>
      <w:r>
        <w:rPr>
          <w:rFonts w:hint="eastAsia" w:ascii="宋体" w:hAnsi="宋体" w:eastAsia="宋体" w:cs="宋体"/>
          <w:sz w:val="24"/>
          <w:szCs w:val="24"/>
        </w:rPr>
        <w:t>符合公安部《GA1051-2013枪支弹药专用保险柜》标准。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管理平台：智能枪弹柜需能全面接入《江苏省公安机关公务用枪管理系统》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前端设备功能：枪弹出入库（包括出入库申请审批，领导角色在前端设备利用指纹或人脸进行开柜操作时可直接授权开柜领用、归还枪弹、保养擦拭、复合检查、紧急用枪、系统自动抓拍开柜画面）；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后台系统功能：枪弹调拨功能，调拨入库和调拨出库，该功能仅限于市、区两级公安机关枪弹管理部门所有，实现单向调拨；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★后台系统功能：与我市现有智能枪弹管理信息系统对接的情况，可查看现有系统的数据。同时，实时对接取枪信息、还枪信息和超时还枪报警信息，管理台账等。</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82"/>
        <w:textAlignment w:val="baseline"/>
        <w:rPr>
          <w:rFonts w:ascii="宋体" w:hAnsi="宋体" w:cs="宋体"/>
          <w:b/>
          <w:bCs/>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、智能单警</w:t>
      </w:r>
      <w:r>
        <w:rPr>
          <w:rFonts w:hint="eastAsia" w:ascii="宋体" w:hAnsi="宋体" w:cs="宋体"/>
          <w:b/>
          <w:bCs/>
          <w:szCs w:val="24"/>
        </w:rPr>
        <w:t>装备柜</w:t>
      </w:r>
    </w:p>
    <w:tbl>
      <w:tblPr>
        <w:tblStyle w:val="51"/>
        <w:tblW w:w="7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088"/>
        <w:gridCol w:w="2411"/>
        <w:gridCol w:w="76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2088" w:type="dxa"/>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设备名称</w:t>
            </w:r>
          </w:p>
        </w:tc>
        <w:tc>
          <w:tcPr>
            <w:tcW w:w="2411" w:type="dxa"/>
            <w:vAlign w:val="center"/>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详细参数</w:t>
            </w:r>
          </w:p>
        </w:tc>
        <w:tc>
          <w:tcPr>
            <w:tcW w:w="765" w:type="dxa"/>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w:t>
            </w:r>
          </w:p>
        </w:tc>
        <w:tc>
          <w:tcPr>
            <w:tcW w:w="1020" w:type="dxa"/>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0" w:type="dxa"/>
            <w:vAlign w:val="center"/>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2088" w:type="dxa"/>
            <w:vAlign w:val="center"/>
          </w:tcPr>
          <w:p>
            <w:pPr>
              <w:snapToGrid w:val="0"/>
              <w:spacing w:line="360" w:lineRule="auto"/>
              <w:jc w:val="center"/>
              <w:textAlignment w:val="baseline"/>
              <w:rPr>
                <w:sz w:val="24"/>
                <w:szCs w:val="24"/>
              </w:rPr>
            </w:pPr>
            <w:r>
              <w:rPr>
                <w:rFonts w:hint="eastAsia"/>
                <w:sz w:val="24"/>
                <w:szCs w:val="24"/>
              </w:rPr>
              <w:t>智能装备主柜</w:t>
            </w:r>
          </w:p>
          <w:p>
            <w:pPr>
              <w:snapToGrid w:val="0"/>
              <w:spacing w:line="360" w:lineRule="auto"/>
              <w:jc w:val="center"/>
              <w:textAlignment w:val="baseline"/>
              <w:rPr>
                <w:sz w:val="20"/>
              </w:rPr>
            </w:pPr>
            <w:r>
              <w:rPr>
                <w:rFonts w:hint="eastAsia" w:ascii="宋体" w:hAnsi="宋体" w:cs="宋体"/>
                <w:sz w:val="24"/>
                <w:szCs w:val="24"/>
                <w:highlight w:val="magenta"/>
              </w:rPr>
              <w:t>（核心产品）</w:t>
            </w:r>
          </w:p>
        </w:tc>
        <w:tc>
          <w:tcPr>
            <w:tcW w:w="2411" w:type="dxa"/>
            <w:vAlign w:val="center"/>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详见产品技术要求</w:t>
            </w:r>
          </w:p>
        </w:tc>
        <w:tc>
          <w:tcPr>
            <w:tcW w:w="765" w:type="dxa"/>
            <w:vAlign w:val="center"/>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套</w:t>
            </w:r>
          </w:p>
        </w:tc>
        <w:tc>
          <w:tcPr>
            <w:tcW w:w="1020" w:type="dxa"/>
            <w:vAlign w:val="center"/>
          </w:tcPr>
          <w:p>
            <w:pPr>
              <w:widowControl/>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0" w:type="dxa"/>
            <w:vAlign w:val="center"/>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2088" w:type="dxa"/>
            <w:vAlign w:val="center"/>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智能装备从柜</w:t>
            </w:r>
          </w:p>
        </w:tc>
        <w:tc>
          <w:tcPr>
            <w:tcW w:w="2411" w:type="dxa"/>
            <w:vAlign w:val="center"/>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详见产品技术要求</w:t>
            </w:r>
          </w:p>
        </w:tc>
        <w:tc>
          <w:tcPr>
            <w:tcW w:w="765" w:type="dxa"/>
            <w:vAlign w:val="center"/>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套</w:t>
            </w:r>
          </w:p>
        </w:tc>
        <w:tc>
          <w:tcPr>
            <w:tcW w:w="1020" w:type="dxa"/>
            <w:vAlign w:val="center"/>
          </w:tcPr>
          <w:p>
            <w:pPr>
              <w:widowControl/>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0" w:type="dxa"/>
            <w:vAlign w:val="center"/>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2088" w:type="dxa"/>
            <w:vAlign w:val="center"/>
          </w:tcPr>
          <w:p>
            <w:pPr>
              <w:snapToGrid w:val="0"/>
              <w:spacing w:line="360" w:lineRule="auto"/>
              <w:jc w:val="center"/>
              <w:textAlignment w:val="baseline"/>
              <w:rPr>
                <w:rFonts w:ascii="宋体" w:hAnsi="宋体"/>
                <w:color w:val="000000" w:themeColor="text1"/>
                <w:sz w:val="24"/>
                <w:szCs w:val="24"/>
                <w:highlight w:val="yellow"/>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管理软件</w:t>
            </w:r>
          </w:p>
        </w:tc>
        <w:tc>
          <w:tcPr>
            <w:tcW w:w="2411" w:type="dxa"/>
            <w:vAlign w:val="center"/>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详见产品技术要求</w:t>
            </w:r>
          </w:p>
        </w:tc>
        <w:tc>
          <w:tcPr>
            <w:tcW w:w="765" w:type="dxa"/>
            <w:vAlign w:val="center"/>
          </w:tcPr>
          <w:p>
            <w:pPr>
              <w:snapToGrid w:val="0"/>
              <w:spacing w:line="360" w:lineRule="auto"/>
              <w:jc w:val="center"/>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套</w:t>
            </w:r>
          </w:p>
        </w:tc>
        <w:tc>
          <w:tcPr>
            <w:tcW w:w="1020" w:type="dxa"/>
            <w:vAlign w:val="center"/>
          </w:tcPr>
          <w:p>
            <w:pPr>
              <w:widowControl/>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r>
    </w:tbl>
    <w:p>
      <w:pPr>
        <w:snapToGrid w:val="0"/>
        <w:spacing w:line="360" w:lineRule="auto"/>
        <w:ind w:firstLine="480" w:firstLineChars="200"/>
        <w:textAlignment w:val="baseline"/>
        <w:rPr>
          <w:b/>
          <w:bCs/>
          <w:sz w:val="24"/>
          <w:szCs w:val="24"/>
        </w:rPr>
      </w:pPr>
      <w:r>
        <w:rPr>
          <w:rFonts w:hint="eastAsia"/>
          <w:b/>
          <w:bCs/>
          <w:sz w:val="24"/>
          <w:szCs w:val="24"/>
        </w:rPr>
        <w:t>产品技术要求</w:t>
      </w:r>
    </w:p>
    <w:p>
      <w:pPr>
        <w:numPr>
          <w:ilvl w:val="0"/>
          <w:numId w:val="9"/>
        </w:numPr>
        <w:snapToGrid w:val="0"/>
        <w:spacing w:line="360" w:lineRule="auto"/>
        <w:ind w:firstLine="480" w:firstLineChars="200"/>
        <w:textAlignment w:val="baseline"/>
        <w:rPr>
          <w:rFonts w:cs="仿宋_GB2312"/>
          <w:color w:val="000000" w:themeColor="text1"/>
          <w:sz w:val="24"/>
          <w:szCs w:val="24"/>
          <w:lang w:val="zh-TW"/>
          <w14:textFill>
            <w14:solidFill>
              <w14:schemeClr w14:val="tx1"/>
            </w14:solidFill>
          </w14:textFill>
        </w:rPr>
      </w:pPr>
      <w:r>
        <w:rPr>
          <w:rFonts w:hint="eastAsia" w:cs="仿宋_GB2312"/>
          <w:color w:val="000000" w:themeColor="text1"/>
          <w:sz w:val="24"/>
          <w:szCs w:val="24"/>
          <w14:textFill>
            <w14:solidFill>
              <w14:schemeClr w14:val="tx1"/>
            </w14:solidFill>
          </w14:textFill>
        </w:rPr>
        <w:t>智能装备柜柜体要求：</w:t>
      </w:r>
      <w:r>
        <w:rPr>
          <w:rFonts w:hint="eastAsia" w:cs="仿宋_GB2312"/>
          <w:color w:val="000000" w:themeColor="text1"/>
          <w:sz w:val="24"/>
          <w:szCs w:val="24"/>
          <w:lang w:val="zh-TW" w:eastAsia="zh-TW"/>
          <w14:textFill>
            <w14:solidFill>
              <w14:schemeClr w14:val="tx1"/>
            </w14:solidFill>
          </w14:textFill>
        </w:rPr>
        <w:t>优质低合金高强度结构钢板</w:t>
      </w:r>
      <w:r>
        <w:rPr>
          <w:rFonts w:hint="eastAsia" w:cs="仿宋_GB2312"/>
          <w:color w:val="000000" w:themeColor="text1"/>
          <w:sz w:val="24"/>
          <w:szCs w:val="24"/>
          <w:lang w:val="zh-TW"/>
          <w14:textFill>
            <w14:solidFill>
              <w14:schemeClr w14:val="tx1"/>
            </w14:solidFill>
          </w14:textFill>
        </w:rPr>
        <w:t>，</w:t>
      </w:r>
      <w:r>
        <w:rPr>
          <w:rFonts w:hint="eastAsia" w:cs="仿宋_GB2312"/>
          <w:color w:val="000000" w:themeColor="text1"/>
          <w:sz w:val="24"/>
          <w:szCs w:val="24"/>
          <w:lang w:val="zh-TW" w:eastAsia="zh-TW"/>
          <w14:textFill>
            <w14:solidFill>
              <w14:schemeClr w14:val="tx1"/>
            </w14:solidFill>
          </w14:textFill>
        </w:rPr>
        <w:t>门板料厚</w:t>
      </w:r>
      <w:r>
        <w:rPr>
          <w:rFonts w:cs="仿宋_GB2312"/>
          <w:color w:val="000000" w:themeColor="text1"/>
          <w:sz w:val="24"/>
          <w:szCs w:val="24"/>
          <w:lang w:eastAsia="zh-TW"/>
          <w14:textFill>
            <w14:solidFill>
              <w14:schemeClr w14:val="tx1"/>
            </w14:solidFill>
          </w14:textFill>
        </w:rPr>
        <w:t>≥</w:t>
      </w:r>
      <w:r>
        <w:rPr>
          <w:rFonts w:hint="eastAsia" w:cs="仿宋_GB2312"/>
          <w:color w:val="000000" w:themeColor="text1"/>
          <w:sz w:val="24"/>
          <w:szCs w:val="24"/>
          <w14:textFill>
            <w14:solidFill>
              <w14:schemeClr w14:val="tx1"/>
            </w14:solidFill>
          </w14:textFill>
        </w:rPr>
        <w:t>1.2</w:t>
      </w:r>
      <w:r>
        <w:rPr>
          <w:rFonts w:hint="eastAsia" w:cs="仿宋_GB2312"/>
          <w:color w:val="000000" w:themeColor="text1"/>
          <w:sz w:val="24"/>
          <w:szCs w:val="24"/>
          <w:lang w:eastAsia="zh-TW"/>
          <w14:textFill>
            <w14:solidFill>
              <w14:schemeClr w14:val="tx1"/>
            </w14:solidFill>
          </w14:textFill>
        </w:rPr>
        <w:t>mm</w:t>
      </w:r>
      <w:r>
        <w:rPr>
          <w:rFonts w:hint="eastAsia" w:cs="仿宋_GB2312"/>
          <w:color w:val="000000" w:themeColor="text1"/>
          <w:sz w:val="24"/>
          <w:szCs w:val="24"/>
          <w:lang w:val="zh-TW" w:eastAsia="zh-TW"/>
          <w14:textFill>
            <w14:solidFill>
              <w14:schemeClr w14:val="tx1"/>
            </w14:solidFill>
          </w14:textFill>
        </w:rPr>
        <w:t>，柜体料</w:t>
      </w:r>
      <w:r>
        <w:rPr>
          <w:rFonts w:cs="仿宋_GB2312"/>
          <w:color w:val="000000" w:themeColor="text1"/>
          <w:sz w:val="24"/>
          <w:szCs w:val="24"/>
          <w:lang w:eastAsia="zh-TW"/>
          <w14:textFill>
            <w14:solidFill>
              <w14:schemeClr w14:val="tx1"/>
            </w14:solidFill>
          </w14:textFill>
        </w:rPr>
        <w:t>≥</w:t>
      </w:r>
      <w:r>
        <w:rPr>
          <w:rFonts w:hint="eastAsia" w:cs="仿宋_GB2312"/>
          <w:color w:val="000000" w:themeColor="text1"/>
          <w:sz w:val="24"/>
          <w:szCs w:val="24"/>
          <w14:textFill>
            <w14:solidFill>
              <w14:schemeClr w14:val="tx1"/>
            </w14:solidFill>
          </w14:textFill>
        </w:rPr>
        <w:t>1.2</w:t>
      </w:r>
      <w:r>
        <w:rPr>
          <w:rFonts w:hint="eastAsia" w:cs="仿宋_GB2312"/>
          <w:color w:val="000000" w:themeColor="text1"/>
          <w:sz w:val="24"/>
          <w:szCs w:val="24"/>
          <w:lang w:eastAsia="zh-TW"/>
          <w14:textFill>
            <w14:solidFill>
              <w14:schemeClr w14:val="tx1"/>
            </w14:solidFill>
          </w14:textFill>
        </w:rPr>
        <w:t>mm</w:t>
      </w:r>
      <w:r>
        <w:rPr>
          <w:rFonts w:hint="eastAsia" w:cs="仿宋_GB2312"/>
          <w:color w:val="000000" w:themeColor="text1"/>
          <w:sz w:val="24"/>
          <w:szCs w:val="24"/>
          <w:lang w:val="zh-TW" w:eastAsia="zh-TW"/>
          <w14:textFill>
            <w14:solidFill>
              <w14:schemeClr w14:val="tx1"/>
            </w14:solidFill>
          </w14:textFill>
        </w:rPr>
        <w:t>，</w:t>
      </w:r>
      <w:r>
        <w:rPr>
          <w:rFonts w:hint="eastAsia" w:cs="仿宋_GB2312"/>
          <w:color w:val="000000" w:themeColor="text1"/>
          <w:sz w:val="24"/>
          <w:szCs w:val="24"/>
          <w:lang w:val="zh-TW"/>
          <w14:textFill>
            <w14:solidFill>
              <w14:schemeClr w14:val="tx1"/>
            </w14:solidFill>
          </w14:textFill>
        </w:rPr>
        <w:t>配置透明亚克力板可查看内部情况。</w:t>
      </w:r>
    </w:p>
    <w:p>
      <w:pPr>
        <w:numPr>
          <w:ilvl w:val="0"/>
          <w:numId w:val="9"/>
        </w:numPr>
        <w:snapToGrid w:val="0"/>
        <w:spacing w:line="360" w:lineRule="auto"/>
        <w:ind w:firstLine="480" w:firstLineChars="200"/>
        <w:textAlignment w:val="baseline"/>
        <w:rPr>
          <w:rFonts w:cs="仿宋_GB2312"/>
          <w:color w:val="000000" w:themeColor="text1"/>
          <w:sz w:val="24"/>
          <w:szCs w:val="24"/>
          <w:lang w:val="zh-TW"/>
          <w14:textFill>
            <w14:solidFill>
              <w14:schemeClr w14:val="tx1"/>
            </w14:solidFill>
          </w14:textFill>
        </w:rPr>
      </w:pPr>
      <w:r>
        <w:rPr>
          <w:rFonts w:hint="eastAsia" w:cs="仿宋_GB2312"/>
          <w:color w:val="000000" w:themeColor="text1"/>
          <w:sz w:val="24"/>
          <w:szCs w:val="24"/>
          <w:lang w:val="zh-TW"/>
          <w14:textFill>
            <w14:solidFill>
              <w14:schemeClr w14:val="tx1"/>
            </w14:solidFill>
          </w14:textFill>
        </w:rPr>
        <w:t>智能装备柜主柜</w:t>
      </w:r>
      <w:r>
        <w:rPr>
          <w:rFonts w:hint="eastAsia" w:cs="仿宋_GB2312"/>
          <w:color w:val="000000" w:themeColor="text1"/>
          <w:sz w:val="24"/>
          <w:szCs w:val="24"/>
          <w:lang w:val="zh-TW" w:eastAsia="zh-TW"/>
          <w14:textFill>
            <w14:solidFill>
              <w14:schemeClr w14:val="tx1"/>
            </w14:solidFill>
          </w14:textFill>
        </w:rPr>
        <w:t>：</w:t>
      </w:r>
      <w:r>
        <w:rPr>
          <w:rFonts w:hint="eastAsia"/>
          <w:bCs/>
          <w:color w:val="000000" w:themeColor="text1"/>
          <w:sz w:val="24"/>
          <w:szCs w:val="24"/>
          <w:lang w:val="zh-TW"/>
          <w14:textFill>
            <w14:solidFill>
              <w14:schemeClr w14:val="tx1"/>
            </w14:solidFill>
          </w14:textFill>
        </w:rPr>
        <w:t>尺寸≥高1</w:t>
      </w:r>
      <w:r>
        <w:rPr>
          <w:rFonts w:hint="eastAsia"/>
          <w:bCs/>
          <w:color w:val="000000" w:themeColor="text1"/>
          <w:sz w:val="24"/>
          <w:szCs w:val="24"/>
          <w14:textFill>
            <w14:solidFill>
              <w14:schemeClr w14:val="tx1"/>
            </w14:solidFill>
          </w14:textFill>
        </w:rPr>
        <w:t>850</w:t>
      </w:r>
      <w:r>
        <w:rPr>
          <w:rFonts w:hint="eastAsia"/>
          <w:bCs/>
          <w:color w:val="000000" w:themeColor="text1"/>
          <w:sz w:val="24"/>
          <w:szCs w:val="24"/>
          <w:lang w:val="zh-TW"/>
          <w14:textFill>
            <w14:solidFill>
              <w14:schemeClr w14:val="tx1"/>
            </w14:solidFill>
          </w14:textFill>
        </w:rPr>
        <w:t>mm</w:t>
      </w:r>
      <w:r>
        <w:rPr>
          <w:rFonts w:hint="eastAsia"/>
          <w:bCs/>
          <w:color w:val="000000" w:themeColor="text1"/>
          <w:sz w:val="24"/>
          <w:szCs w:val="24"/>
          <w:lang w:val="zh-TW" w:eastAsia="zh-TW"/>
          <w14:textFill>
            <w14:solidFill>
              <w14:schemeClr w14:val="tx1"/>
            </w14:solidFill>
          </w14:textFill>
        </w:rPr>
        <w:t>×</w:t>
      </w:r>
      <w:r>
        <w:rPr>
          <w:rFonts w:hint="eastAsia"/>
          <w:bCs/>
          <w:color w:val="000000" w:themeColor="text1"/>
          <w:sz w:val="24"/>
          <w:szCs w:val="24"/>
          <w:lang w:val="zh-TW"/>
          <w14:textFill>
            <w14:solidFill>
              <w14:schemeClr w14:val="tx1"/>
            </w14:solidFill>
          </w14:textFill>
        </w:rPr>
        <w:t>宽</w:t>
      </w:r>
      <w:r>
        <w:rPr>
          <w:rFonts w:hint="eastAsia"/>
          <w:bCs/>
          <w:color w:val="000000" w:themeColor="text1"/>
          <w:sz w:val="24"/>
          <w:szCs w:val="24"/>
          <w14:textFill>
            <w14:solidFill>
              <w14:schemeClr w14:val="tx1"/>
            </w14:solidFill>
          </w14:textFill>
        </w:rPr>
        <w:t>1000</w:t>
      </w:r>
      <w:r>
        <w:rPr>
          <w:rFonts w:hint="eastAsia"/>
          <w:bCs/>
          <w:color w:val="000000" w:themeColor="text1"/>
          <w:sz w:val="24"/>
          <w:szCs w:val="24"/>
          <w:lang w:val="zh-TW" w:eastAsia="zh-TW"/>
          <w14:textFill>
            <w14:solidFill>
              <w14:schemeClr w14:val="tx1"/>
            </w14:solidFill>
          </w14:textFill>
        </w:rPr>
        <w:t>mm×深</w:t>
      </w:r>
      <w:r>
        <w:rPr>
          <w:rFonts w:hint="eastAsia"/>
          <w:bCs/>
          <w:color w:val="000000" w:themeColor="text1"/>
          <w:sz w:val="24"/>
          <w:szCs w:val="24"/>
          <w:lang w:val="zh-TW"/>
          <w14:textFill>
            <w14:solidFill>
              <w14:schemeClr w14:val="tx1"/>
            </w14:solidFill>
          </w14:textFill>
        </w:rPr>
        <w:t>4</w:t>
      </w:r>
      <w:r>
        <w:rPr>
          <w:rFonts w:hint="eastAsia"/>
          <w:bCs/>
          <w:color w:val="000000" w:themeColor="text1"/>
          <w:sz w:val="24"/>
          <w:szCs w:val="24"/>
          <w14:textFill>
            <w14:solidFill>
              <w14:schemeClr w14:val="tx1"/>
            </w14:solidFill>
          </w14:textFill>
        </w:rPr>
        <w:t>5</w:t>
      </w:r>
      <w:r>
        <w:rPr>
          <w:rFonts w:hint="eastAsia"/>
          <w:bCs/>
          <w:color w:val="000000" w:themeColor="text1"/>
          <w:sz w:val="24"/>
          <w:szCs w:val="24"/>
          <w:lang w:val="zh-TW"/>
          <w14:textFill>
            <w14:solidFill>
              <w14:schemeClr w14:val="tx1"/>
            </w14:solidFill>
          </w14:textFill>
        </w:rPr>
        <w:t>0</w:t>
      </w:r>
      <w:r>
        <w:rPr>
          <w:rFonts w:hint="eastAsia"/>
          <w:bCs/>
          <w:color w:val="000000" w:themeColor="text1"/>
          <w:sz w:val="24"/>
          <w:szCs w:val="24"/>
          <w:lang w:val="zh-TW" w:eastAsia="zh-TW"/>
          <w14:textFill>
            <w14:solidFill>
              <w14:schemeClr w14:val="tx1"/>
            </w14:solidFill>
          </w14:textFill>
        </w:rPr>
        <w:t>mm</w:t>
      </w:r>
      <w:r>
        <w:rPr>
          <w:rFonts w:hint="eastAsia"/>
          <w:bCs/>
          <w:color w:val="000000" w:themeColor="text1"/>
          <w:sz w:val="24"/>
          <w:szCs w:val="24"/>
          <w:lang w:val="zh-TW"/>
          <w14:textFill>
            <w14:solidFill>
              <w14:schemeClr w14:val="tx1"/>
            </w14:solidFill>
          </w14:textFill>
        </w:rPr>
        <w:t>。</w:t>
      </w:r>
    </w:p>
    <w:p>
      <w:pPr>
        <w:numPr>
          <w:ilvl w:val="0"/>
          <w:numId w:val="9"/>
        </w:numPr>
        <w:snapToGrid w:val="0"/>
        <w:spacing w:line="360" w:lineRule="auto"/>
        <w:ind w:firstLine="480" w:firstLineChars="200"/>
        <w:textAlignment w:val="baseline"/>
        <w:rPr>
          <w:rFonts w:cs="仿宋_GB2312"/>
          <w:color w:val="000000" w:themeColor="text1"/>
          <w:sz w:val="24"/>
          <w:szCs w:val="24"/>
          <w:lang w:val="zh-TW" w:eastAsia="zh-TW"/>
          <w14:textFill>
            <w14:solidFill>
              <w14:schemeClr w14:val="tx1"/>
            </w14:solidFill>
          </w14:textFill>
        </w:rPr>
      </w:pPr>
      <w:r>
        <w:rPr>
          <w:rFonts w:hint="eastAsia" w:cs="仿宋_GB2312"/>
          <w:color w:val="000000" w:themeColor="text1"/>
          <w:sz w:val="24"/>
          <w:szCs w:val="24"/>
          <w:lang w:val="zh-TW"/>
          <w14:textFill>
            <w14:solidFill>
              <w14:schemeClr w14:val="tx1"/>
            </w14:solidFill>
          </w14:textFill>
        </w:rPr>
        <w:t>智能装备柜从柜：尺寸≥高1</w:t>
      </w:r>
      <w:r>
        <w:rPr>
          <w:rFonts w:hint="eastAsia" w:cs="仿宋_GB2312"/>
          <w:color w:val="000000" w:themeColor="text1"/>
          <w:sz w:val="24"/>
          <w:szCs w:val="24"/>
          <w14:textFill>
            <w14:solidFill>
              <w14:schemeClr w14:val="tx1"/>
            </w14:solidFill>
          </w14:textFill>
        </w:rPr>
        <w:t>850</w:t>
      </w:r>
      <w:r>
        <w:rPr>
          <w:rFonts w:hint="eastAsia" w:cs="仿宋_GB2312"/>
          <w:color w:val="000000" w:themeColor="text1"/>
          <w:sz w:val="24"/>
          <w:szCs w:val="24"/>
          <w:lang w:val="zh-TW"/>
          <w14:textFill>
            <w14:solidFill>
              <w14:schemeClr w14:val="tx1"/>
            </w14:solidFill>
          </w14:textFill>
        </w:rPr>
        <w:t>mm×宽1000mm×深4</w:t>
      </w:r>
      <w:r>
        <w:rPr>
          <w:rFonts w:hint="eastAsia" w:cs="仿宋_GB2312"/>
          <w:color w:val="000000" w:themeColor="text1"/>
          <w:sz w:val="24"/>
          <w:szCs w:val="24"/>
          <w14:textFill>
            <w14:solidFill>
              <w14:schemeClr w14:val="tx1"/>
            </w14:solidFill>
          </w14:textFill>
        </w:rPr>
        <w:t>5</w:t>
      </w:r>
      <w:r>
        <w:rPr>
          <w:rFonts w:hint="eastAsia" w:cs="仿宋_GB2312"/>
          <w:color w:val="000000" w:themeColor="text1"/>
          <w:sz w:val="24"/>
          <w:szCs w:val="24"/>
          <w:lang w:val="zh-TW"/>
          <w14:textFill>
            <w14:solidFill>
              <w14:schemeClr w14:val="tx1"/>
            </w14:solidFill>
          </w14:textFill>
        </w:rPr>
        <w:t>0mm。</w:t>
      </w:r>
    </w:p>
    <w:p>
      <w:pPr>
        <w:numPr>
          <w:ilvl w:val="0"/>
          <w:numId w:val="9"/>
        </w:numPr>
        <w:snapToGrid w:val="0"/>
        <w:spacing w:line="360" w:lineRule="auto"/>
        <w:ind w:firstLine="480" w:firstLineChars="200"/>
        <w:textAlignment w:val="baseline"/>
        <w:rPr>
          <w:rFonts w:cs="仿宋_GB2312"/>
          <w:color w:val="000000" w:themeColor="text1"/>
          <w:sz w:val="24"/>
          <w:szCs w:val="24"/>
          <w14:textFill>
            <w14:solidFill>
              <w14:schemeClr w14:val="tx1"/>
            </w14:solidFill>
          </w14:textFill>
        </w:rPr>
      </w:pPr>
      <w:r>
        <w:rPr>
          <w:rFonts w:hint="eastAsia" w:cs="仿宋_GB2312"/>
          <w:color w:val="000000" w:themeColor="text1"/>
          <w:sz w:val="24"/>
          <w:szCs w:val="24"/>
          <w:lang w:val="zh-TW" w:eastAsia="zh-TW"/>
          <w14:textFill>
            <w14:solidFill>
              <w14:schemeClr w14:val="tx1"/>
            </w14:solidFill>
          </w14:textFill>
        </w:rPr>
        <w:t>配置：</w:t>
      </w:r>
      <w:r>
        <w:rPr>
          <w:rFonts w:hint="eastAsia" w:cs="仿宋_GB2312"/>
          <w:color w:val="000000" w:themeColor="text1"/>
          <w:sz w:val="24"/>
          <w:szCs w:val="24"/>
          <w:lang w:val="zh-TW"/>
          <w14:textFill>
            <w14:solidFill>
              <w14:schemeClr w14:val="tx1"/>
            </w14:solidFill>
          </w14:textFill>
        </w:rPr>
        <w:t>主柜除控制位可以存放</w:t>
      </w:r>
      <w:r>
        <w:rPr>
          <w:rFonts w:hint="eastAsia" w:cs="仿宋_GB2312"/>
          <w:color w:val="000000" w:themeColor="text1"/>
          <w:sz w:val="24"/>
          <w:szCs w:val="24"/>
          <w14:textFill>
            <w14:solidFill>
              <w14:schemeClr w14:val="tx1"/>
            </w14:solidFill>
          </w14:textFill>
        </w:rPr>
        <w:t>6</w:t>
      </w:r>
      <w:r>
        <w:rPr>
          <w:rFonts w:hint="eastAsia" w:cs="仿宋_GB2312"/>
          <w:color w:val="000000" w:themeColor="text1"/>
          <w:sz w:val="24"/>
          <w:szCs w:val="24"/>
          <w:lang w:val="zh-TW"/>
          <w14:textFill>
            <w14:solidFill>
              <w14:schemeClr w14:val="tx1"/>
            </w14:solidFill>
          </w14:textFill>
        </w:rPr>
        <w:t>位警员装备位，每个从柜可存放</w:t>
      </w:r>
      <w:r>
        <w:rPr>
          <w:rFonts w:hint="eastAsia" w:cs="仿宋_GB2312"/>
          <w:color w:val="000000" w:themeColor="text1"/>
          <w:sz w:val="24"/>
          <w:szCs w:val="24"/>
          <w14:textFill>
            <w14:solidFill>
              <w14:schemeClr w14:val="tx1"/>
            </w14:solidFill>
          </w14:textFill>
        </w:rPr>
        <w:t>8</w:t>
      </w:r>
      <w:r>
        <w:rPr>
          <w:rFonts w:hint="eastAsia" w:cs="仿宋_GB2312"/>
          <w:color w:val="000000" w:themeColor="text1"/>
          <w:sz w:val="24"/>
          <w:szCs w:val="24"/>
          <w:lang w:val="zh-TW"/>
          <w14:textFill>
            <w14:solidFill>
              <w14:schemeClr w14:val="tx1"/>
            </w14:solidFill>
          </w14:textFill>
        </w:rPr>
        <w:t>位警员装备位。</w:t>
      </w:r>
    </w:p>
    <w:p>
      <w:pPr>
        <w:numPr>
          <w:ilvl w:val="0"/>
          <w:numId w:val="9"/>
        </w:numPr>
        <w:snapToGrid w:val="0"/>
        <w:spacing w:line="360" w:lineRule="auto"/>
        <w:ind w:firstLine="480" w:firstLineChars="200"/>
        <w:textAlignment w:val="baseline"/>
        <w:rPr>
          <w:rFonts w:cs="仿宋_GB2312"/>
          <w:color w:val="000000" w:themeColor="text1"/>
          <w:sz w:val="24"/>
          <w:szCs w:val="24"/>
          <w14:textFill>
            <w14:solidFill>
              <w14:schemeClr w14:val="tx1"/>
            </w14:solidFill>
          </w14:textFill>
        </w:rPr>
      </w:pPr>
      <w:r>
        <w:rPr>
          <w:rFonts w:hint="eastAsia" w:cs="仿宋_GB2312"/>
          <w:color w:val="000000" w:themeColor="text1"/>
          <w:sz w:val="24"/>
          <w:szCs w:val="24"/>
          <w14:textFill>
            <w14:solidFill>
              <w14:schemeClr w14:val="tx1"/>
            </w14:solidFill>
          </w14:textFill>
        </w:rPr>
        <w:t>产品应用：部署于公安机关装备室，协助完成单警装备、充电设备、执法文书的管控。</w:t>
      </w:r>
    </w:p>
    <w:p>
      <w:pPr>
        <w:numPr>
          <w:ilvl w:val="0"/>
          <w:numId w:val="9"/>
        </w:numPr>
        <w:snapToGrid w:val="0"/>
        <w:spacing w:line="360" w:lineRule="auto"/>
        <w:ind w:firstLine="480" w:firstLineChars="200"/>
        <w:textAlignment w:val="baseline"/>
        <w:rPr>
          <w:rFonts w:cs="仿宋_GB2312"/>
          <w:color w:val="000000" w:themeColor="text1"/>
          <w:sz w:val="24"/>
          <w:szCs w:val="24"/>
          <w14:textFill>
            <w14:solidFill>
              <w14:schemeClr w14:val="tx1"/>
            </w14:solidFill>
          </w14:textFill>
        </w:rPr>
      </w:pPr>
      <w:r>
        <w:rPr>
          <w:rFonts w:hint="eastAsia" w:cs="仿宋_GB2312"/>
          <w:color w:val="000000" w:themeColor="text1"/>
          <w:sz w:val="24"/>
          <w:szCs w:val="24"/>
          <w14:textFill>
            <w14:solidFill>
              <w14:schemeClr w14:val="tx1"/>
            </w14:solidFill>
          </w14:textFill>
        </w:rPr>
        <w:t>产品特点：完成警员装备独立存放避免流失，每个柜内带插座可完成对讲机类设备充电。</w:t>
      </w:r>
    </w:p>
    <w:p>
      <w:pPr>
        <w:numPr>
          <w:ilvl w:val="0"/>
          <w:numId w:val="9"/>
        </w:numPr>
        <w:snapToGrid w:val="0"/>
        <w:spacing w:line="360" w:lineRule="auto"/>
        <w:ind w:firstLine="480" w:firstLineChars="200"/>
        <w:textAlignment w:val="baseline"/>
        <w:rPr>
          <w:rFonts w:cs="仿宋_GB2312"/>
          <w:color w:val="000000" w:themeColor="text1"/>
          <w:sz w:val="24"/>
          <w:szCs w:val="24"/>
          <w14:textFill>
            <w14:solidFill>
              <w14:schemeClr w14:val="tx1"/>
            </w14:solidFill>
          </w14:textFill>
        </w:rPr>
      </w:pPr>
      <w:r>
        <w:rPr>
          <w:rFonts w:hint="eastAsia" w:cs="仿宋_GB2312"/>
          <w:color w:val="000000" w:themeColor="text1"/>
          <w:sz w:val="24"/>
          <w:szCs w:val="24"/>
          <w14:textFill>
            <w14:solidFill>
              <w14:schemeClr w14:val="tx1"/>
            </w14:solidFill>
          </w14:textFill>
        </w:rPr>
        <w:t>主控系统：使用嵌入式Linux主机，12寸工业级触摸屏，1024*768高分辨率，内置嵌入式SQLite数据库，记录人员、操作、报警等信息。控制面板集成了半导体指纹识别模块、网络摄像机、二维码扫描模块、语音提示，面板采用铝合金一体压铸。系统具有二维码合法性验证功能，非合法的二维码不开启柜位。</w:t>
      </w:r>
    </w:p>
    <w:p>
      <w:pPr>
        <w:numPr>
          <w:ilvl w:val="0"/>
          <w:numId w:val="9"/>
        </w:numPr>
        <w:snapToGrid w:val="0"/>
        <w:spacing w:line="360" w:lineRule="auto"/>
        <w:ind w:firstLine="480" w:firstLineChars="200"/>
        <w:textAlignment w:val="baseline"/>
        <w:rPr>
          <w:rFonts w:cs="仿宋_GB2312"/>
          <w:color w:val="000000" w:themeColor="text1"/>
          <w:sz w:val="24"/>
          <w:szCs w:val="24"/>
          <w14:textFill>
            <w14:solidFill>
              <w14:schemeClr w14:val="tx1"/>
            </w14:solidFill>
          </w14:textFill>
        </w:rPr>
      </w:pPr>
      <w:r>
        <w:rPr>
          <w:rFonts w:hint="eastAsia" w:cs="仿宋_GB2312"/>
          <w:color w:val="000000" w:themeColor="text1"/>
          <w:sz w:val="24"/>
          <w:szCs w:val="24"/>
          <w14:textFill>
            <w14:solidFill>
              <w14:schemeClr w14:val="tx1"/>
            </w14:solidFill>
          </w14:textFill>
        </w:rPr>
        <w:t>业务功能： 警员与柜位一对一绑定，独立保管自己的装备、电子设备。管理员在下班后进行统一执法文书分拣，警员上班后取用、下班归还电子设备充电功能。</w:t>
      </w:r>
    </w:p>
    <w:p>
      <w:pPr>
        <w:numPr>
          <w:ilvl w:val="0"/>
          <w:numId w:val="9"/>
        </w:numPr>
        <w:snapToGrid w:val="0"/>
        <w:spacing w:line="360" w:lineRule="auto"/>
        <w:ind w:firstLine="480" w:firstLineChars="200"/>
        <w:textAlignment w:val="baseline"/>
        <w:rPr>
          <w:rFonts w:cs="仿宋_GB2312"/>
          <w:color w:val="000000" w:themeColor="text1"/>
          <w:sz w:val="24"/>
          <w:szCs w:val="24"/>
          <w14:textFill>
            <w14:solidFill>
              <w14:schemeClr w14:val="tx1"/>
            </w14:solidFill>
          </w14:textFill>
        </w:rPr>
      </w:pPr>
      <w:r>
        <w:rPr>
          <w:rFonts w:hint="eastAsia" w:cs="仿宋_GB2312"/>
          <w:color w:val="000000" w:themeColor="text1"/>
          <w:sz w:val="24"/>
          <w:szCs w:val="24"/>
          <w14:textFill>
            <w14:solidFill>
              <w14:schemeClr w14:val="tx1"/>
            </w14:solidFill>
          </w14:textFill>
        </w:rPr>
        <w:t>身份验证：采用指纹识别技术，警员编号+动态码备用身份识别模式。</w:t>
      </w:r>
    </w:p>
    <w:p>
      <w:pPr>
        <w:numPr>
          <w:ilvl w:val="0"/>
          <w:numId w:val="9"/>
        </w:numPr>
        <w:snapToGrid w:val="0"/>
        <w:spacing w:line="360" w:lineRule="auto"/>
        <w:ind w:firstLine="480" w:firstLineChars="200"/>
        <w:textAlignment w:val="baseline"/>
        <w:rPr>
          <w:rFonts w:cs="仿宋_GB2312"/>
          <w:sz w:val="24"/>
          <w:szCs w:val="24"/>
        </w:rPr>
      </w:pPr>
      <w:r>
        <w:rPr>
          <w:rFonts w:hint="eastAsia" w:cs="仿宋_GB2312"/>
          <w:color w:val="000000" w:themeColor="text1"/>
          <w:sz w:val="24"/>
          <w:szCs w:val="24"/>
          <w14:textFill>
            <w14:solidFill>
              <w14:schemeClr w14:val="tx1"/>
            </w14:solidFill>
          </w14:textFill>
        </w:rPr>
        <w:t>视频与图像：内置高清广角低照度网络摄像机，可组网完成视频集中存储、远程回放、移动视频侦测录像、人脸侦测录像，业务操作均有实时抓拍图片功能，可以在智能柜的触控屏上查看操作时抓拍的照片。</w:t>
      </w:r>
    </w:p>
    <w:p>
      <w:pPr>
        <w:numPr>
          <w:ilvl w:val="0"/>
          <w:numId w:val="9"/>
        </w:numPr>
        <w:snapToGrid w:val="0"/>
        <w:spacing w:line="360" w:lineRule="auto"/>
        <w:ind w:firstLine="480" w:firstLineChars="200"/>
        <w:textAlignment w:val="baseline"/>
        <w:rPr>
          <w:rFonts w:cs="仿宋_GB2312"/>
          <w:sz w:val="24"/>
          <w:szCs w:val="24"/>
        </w:rPr>
      </w:pPr>
      <w:r>
        <w:rPr>
          <w:rFonts w:hint="eastAsia" w:cs="仿宋_GB2312"/>
          <w:sz w:val="24"/>
          <w:szCs w:val="24"/>
        </w:rPr>
        <w:t>联网通讯：与“网络管理平台”联网，完成智能柜管理、人员信息同步、远程报警管理、使用日志查看等功能。</w:t>
      </w:r>
    </w:p>
    <w:p>
      <w:pPr>
        <w:numPr>
          <w:ilvl w:val="0"/>
          <w:numId w:val="9"/>
        </w:numPr>
        <w:snapToGrid w:val="0"/>
        <w:spacing w:line="360" w:lineRule="auto"/>
        <w:ind w:firstLine="480" w:firstLineChars="200"/>
        <w:textAlignment w:val="baseline"/>
        <w:rPr>
          <w:rFonts w:cs="仿宋_GB2312"/>
          <w:sz w:val="24"/>
          <w:szCs w:val="24"/>
        </w:rPr>
      </w:pPr>
      <w:r>
        <w:rPr>
          <w:rFonts w:hint="eastAsia" w:cs="仿宋_GB2312"/>
          <w:sz w:val="24"/>
          <w:szCs w:val="24"/>
        </w:rPr>
        <w:t>报警管理：具有远程报警功能，智能柜震动撬动、非正常开启柜门、柜门超时未关、智能柜断电等启动声光报警。</w:t>
      </w:r>
    </w:p>
    <w:p>
      <w:pPr>
        <w:numPr>
          <w:ilvl w:val="0"/>
          <w:numId w:val="9"/>
        </w:numPr>
        <w:snapToGrid w:val="0"/>
        <w:spacing w:line="360" w:lineRule="auto"/>
        <w:ind w:firstLine="480" w:firstLineChars="200"/>
        <w:textAlignment w:val="baseline"/>
        <w:rPr>
          <w:rFonts w:cs="仿宋_GB2312"/>
          <w:sz w:val="24"/>
          <w:szCs w:val="24"/>
        </w:rPr>
      </w:pPr>
      <w:r>
        <w:rPr>
          <w:rFonts w:hint="eastAsia" w:cs="仿宋_GB2312"/>
          <w:sz w:val="24"/>
          <w:szCs w:val="24"/>
        </w:rPr>
        <w:t>电源管理：市电与备用电源切换供电/备用电源安全充电管理/电源保护装置，防止柜体漏电风险，增加安全性。</w:t>
      </w:r>
    </w:p>
    <w:p>
      <w:pPr>
        <w:numPr>
          <w:ilvl w:val="0"/>
          <w:numId w:val="9"/>
        </w:numPr>
        <w:snapToGrid w:val="0"/>
        <w:spacing w:line="360" w:lineRule="auto"/>
        <w:ind w:firstLine="480" w:firstLineChars="200"/>
        <w:textAlignment w:val="baseline"/>
        <w:rPr>
          <w:sz w:val="20"/>
        </w:rPr>
      </w:pPr>
      <w:r>
        <w:rPr>
          <w:rFonts w:hint="eastAsia" w:cs="仿宋_GB2312"/>
          <w:sz w:val="24"/>
          <w:szCs w:val="24"/>
        </w:rPr>
        <w:t>外部接口：电源、网口、预留串口。</w:t>
      </w:r>
    </w:p>
    <w:p>
      <w:pPr>
        <w:snapToGrid w:val="0"/>
        <w:spacing w:line="360" w:lineRule="auto"/>
        <w:ind w:firstLine="480" w:firstLineChars="200"/>
        <w:textAlignment w:val="baseline"/>
        <w:rPr>
          <w:b/>
          <w:sz w:val="20"/>
        </w:rPr>
      </w:pPr>
      <w:r>
        <w:rPr>
          <w:rFonts w:hint="eastAsia" w:ascii="宋体" w:hAnsi="宋体" w:cs="宋体"/>
          <w:b/>
          <w:kern w:val="0"/>
          <w:sz w:val="24"/>
          <w:szCs w:val="24"/>
          <w:lang w:val="zh-CN"/>
        </w:rPr>
        <w:t>注：</w:t>
      </w:r>
      <w:r>
        <w:rPr>
          <w:rFonts w:hint="eastAsia" w:ascii="宋体" w:hAnsi="宋体"/>
          <w:b/>
          <w:sz w:val="24"/>
        </w:rPr>
        <w:t>所有技术要求不接受负偏离，如供应商响应文件中相关技术要求有负偏离，则按照技术标中“</w:t>
      </w:r>
      <w:r>
        <w:rPr>
          <w:rFonts w:hint="eastAsia" w:ascii="宋体" w:hAnsi="宋体" w:cs="宋体"/>
          <w:b/>
          <w:sz w:val="24"/>
          <w:szCs w:val="24"/>
        </w:rPr>
        <w:t>所投产品质量及技术要求</w:t>
      </w:r>
      <w:r>
        <w:rPr>
          <w:rFonts w:hint="eastAsia" w:ascii="宋体" w:hAnsi="宋体"/>
          <w:b/>
          <w:sz w:val="24"/>
        </w:rPr>
        <w:t>”评审标准扣分</w:t>
      </w:r>
      <w:r>
        <w:rPr>
          <w:rFonts w:hint="eastAsia" w:ascii="宋体" w:hAnsi="宋体" w:cs="宋体"/>
          <w:b/>
          <w:kern w:val="0"/>
          <w:sz w:val="24"/>
          <w:szCs w:val="24"/>
          <w:lang w:val="zh-CN"/>
        </w:rPr>
        <w:t>。</w:t>
      </w:r>
    </w:p>
    <w:p>
      <w:pPr>
        <w:snapToGrid w:val="0"/>
        <w:spacing w:line="360" w:lineRule="auto"/>
        <w:ind w:firstLine="480" w:firstLineChars="200"/>
        <w:textAlignment w:val="baseline"/>
        <w:rPr>
          <w:rFonts w:ascii="宋体" w:hAnsi="宋体" w:cs="宋体"/>
          <w:color w:val="000000"/>
          <w:kern w:val="0"/>
          <w:sz w:val="24"/>
          <w:szCs w:val="24"/>
        </w:rPr>
      </w:pPr>
      <w:r>
        <w:rPr>
          <w:rFonts w:hint="eastAsia" w:ascii="宋体" w:hAnsi="宋体" w:cs="宋体"/>
          <w:b/>
          <w:bCs/>
          <w:sz w:val="24"/>
          <w:szCs w:val="24"/>
        </w:rPr>
        <w:t>四、质量保证</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kern w:val="0"/>
          <w:sz w:val="24"/>
          <w:szCs w:val="24"/>
        </w:rPr>
        <w:t>1、</w:t>
      </w:r>
      <w:r>
        <w:rPr>
          <w:rFonts w:hint="eastAsia" w:ascii="宋体" w:hAnsi="宋体" w:cs="宋体"/>
          <w:color w:val="000000"/>
          <w:sz w:val="24"/>
          <w:szCs w:val="24"/>
        </w:rPr>
        <w:t>成交供应商</w:t>
      </w:r>
      <w:r>
        <w:rPr>
          <w:rFonts w:hint="eastAsia" w:ascii="宋体" w:hAnsi="宋体" w:cs="宋体"/>
          <w:color w:val="000000"/>
          <w:sz w:val="24"/>
          <w:szCs w:val="24"/>
          <w:lang w:val="zh-CN"/>
        </w:rPr>
        <w:t>应保证</w:t>
      </w:r>
      <w:r>
        <w:rPr>
          <w:rFonts w:hint="eastAsia" w:ascii="宋体" w:hAnsi="宋体" w:cs="宋体"/>
          <w:color w:val="000000"/>
          <w:sz w:val="24"/>
          <w:szCs w:val="24"/>
        </w:rPr>
        <w:t>所有货物都</w:t>
      </w:r>
      <w:r>
        <w:rPr>
          <w:rFonts w:hint="eastAsia" w:ascii="宋体" w:hAnsi="宋体" w:cs="宋体"/>
          <w:color w:val="000000"/>
          <w:sz w:val="24"/>
          <w:szCs w:val="24"/>
          <w:lang w:val="zh-CN"/>
        </w:rPr>
        <w:t>是全新、未使用过的原厂合格产品，并完全符合</w:t>
      </w:r>
      <w:r>
        <w:rPr>
          <w:rFonts w:hint="eastAsia" w:ascii="宋体" w:hAnsi="宋体" w:cs="宋体"/>
          <w:color w:val="000000"/>
          <w:sz w:val="24"/>
          <w:szCs w:val="24"/>
        </w:rPr>
        <w:t>磋商</w:t>
      </w:r>
      <w:r>
        <w:rPr>
          <w:rFonts w:hint="eastAsia" w:ascii="宋体" w:hAnsi="宋体" w:cs="宋体"/>
          <w:color w:val="000000"/>
          <w:sz w:val="24"/>
          <w:szCs w:val="24"/>
          <w:lang w:val="zh-CN"/>
        </w:rPr>
        <w:t>文件规定的质量、规格和参数的要求。验收过程中发现产品不符合上述要求的，将视作不合格产品，使用方有权终止合同，造成的一切损失由</w:t>
      </w:r>
      <w:r>
        <w:rPr>
          <w:rFonts w:hint="eastAsia" w:ascii="宋体" w:hAnsi="宋体" w:cs="宋体"/>
          <w:color w:val="000000"/>
          <w:sz w:val="24"/>
          <w:szCs w:val="24"/>
        </w:rPr>
        <w:t>乙方</w:t>
      </w:r>
      <w:r>
        <w:rPr>
          <w:rFonts w:hint="eastAsia" w:ascii="宋体" w:hAnsi="宋体" w:cs="宋体"/>
          <w:color w:val="000000"/>
          <w:sz w:val="24"/>
          <w:szCs w:val="24"/>
          <w:lang w:val="zh-CN"/>
        </w:rPr>
        <w:t>承担。</w:t>
      </w:r>
    </w:p>
    <w:p>
      <w:pPr>
        <w:snapToGrid w:val="0"/>
        <w:spacing w:line="360" w:lineRule="auto"/>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sz w:val="24"/>
          <w:szCs w:val="24"/>
        </w:rPr>
        <w:t>成交供应商</w:t>
      </w:r>
      <w:r>
        <w:rPr>
          <w:rFonts w:hint="eastAsia" w:ascii="宋体" w:hAnsi="宋体" w:cs="宋体"/>
          <w:color w:val="000000"/>
          <w:kern w:val="0"/>
          <w:sz w:val="24"/>
          <w:szCs w:val="24"/>
        </w:rPr>
        <w:t>应保证提供的产品不得侵犯第三方专利权、商标权和设计权、版权等。否则，</w:t>
      </w:r>
      <w:r>
        <w:rPr>
          <w:rFonts w:hint="eastAsia" w:ascii="宋体" w:hAnsi="宋体" w:cs="宋体"/>
          <w:color w:val="000000"/>
          <w:sz w:val="24"/>
          <w:szCs w:val="24"/>
        </w:rPr>
        <w:t>成交供应商</w:t>
      </w:r>
      <w:r>
        <w:rPr>
          <w:rFonts w:hint="eastAsia" w:ascii="宋体" w:hAnsi="宋体" w:cs="宋体"/>
          <w:color w:val="000000"/>
          <w:kern w:val="0"/>
          <w:sz w:val="24"/>
          <w:szCs w:val="24"/>
        </w:rPr>
        <w:t>应负全部责任，并承担由此引起的一切后果。</w:t>
      </w:r>
    </w:p>
    <w:p>
      <w:pPr>
        <w:pStyle w:val="3"/>
        <w:snapToGrid w:val="0"/>
        <w:spacing w:after="0" w:line="360" w:lineRule="auto"/>
        <w:textAlignment w:val="baseline"/>
        <w:rPr>
          <w:rFonts w:ascii="宋体" w:hAnsi="宋体" w:cs="宋体"/>
          <w:szCs w:val="24"/>
        </w:rPr>
      </w:pPr>
      <w:r>
        <w:rPr>
          <w:rFonts w:hint="eastAsia" w:ascii="宋体" w:hAnsi="宋体" w:cs="宋体"/>
          <w:color w:val="000000"/>
          <w:kern w:val="0"/>
          <w:szCs w:val="24"/>
        </w:rPr>
        <w:t>2、</w:t>
      </w:r>
      <w:r>
        <w:rPr>
          <w:rFonts w:hint="eastAsia" w:ascii="宋体" w:hAnsi="宋体" w:cs="宋体"/>
          <w:bCs/>
          <w:szCs w:val="24"/>
        </w:rPr>
        <w:t>成交产品的技术标准按国家标准执行，无国家标准的，按行业标准执行，无国家和行业标准的，按企业标准执行；但在磋商文件中有特别要求的，按磋商文件中规定的要求执行，并且符合相关法律、法规规定的要求。</w:t>
      </w:r>
    </w:p>
    <w:p>
      <w:pPr>
        <w:snapToGrid w:val="0"/>
        <w:spacing w:line="360" w:lineRule="auto"/>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sz w:val="24"/>
          <w:szCs w:val="24"/>
        </w:rPr>
        <w:t>成交供应商</w:t>
      </w:r>
      <w:r>
        <w:rPr>
          <w:rFonts w:hint="eastAsia" w:ascii="宋体" w:hAnsi="宋体" w:cs="宋体"/>
          <w:color w:val="000000"/>
          <w:kern w:val="0"/>
          <w:sz w:val="24"/>
          <w:szCs w:val="24"/>
        </w:rPr>
        <w:t>必须保证所提供的产品符合国家相应质量要求，所有产品必须具备产品合格证书</w:t>
      </w:r>
      <w:r>
        <w:rPr>
          <w:rFonts w:hint="eastAsia" w:ascii="宋体" w:hAnsi="宋体" w:cs="宋体"/>
          <w:color w:val="000000"/>
          <w:kern w:val="0"/>
          <w:sz w:val="24"/>
          <w:szCs w:val="24"/>
          <w:lang w:val="zh-CN"/>
        </w:rPr>
        <w:t>和检测报告</w:t>
      </w:r>
      <w:r>
        <w:rPr>
          <w:rFonts w:hint="eastAsia" w:ascii="宋体" w:hAnsi="宋体" w:cs="宋体"/>
          <w:color w:val="000000"/>
          <w:kern w:val="0"/>
          <w:sz w:val="24"/>
          <w:szCs w:val="24"/>
        </w:rPr>
        <w:t>，并随货同行。</w:t>
      </w:r>
    </w:p>
    <w:p>
      <w:pPr>
        <w:pStyle w:val="3"/>
        <w:snapToGrid w:val="0"/>
        <w:spacing w:after="0" w:line="360" w:lineRule="auto"/>
        <w:textAlignment w:val="baseline"/>
        <w:rPr>
          <w:rFonts w:ascii="宋体" w:hAnsi="宋体" w:cs="宋体"/>
          <w:szCs w:val="24"/>
        </w:rPr>
      </w:pPr>
      <w:r>
        <w:rPr>
          <w:rFonts w:hint="eastAsia" w:ascii="宋体" w:hAnsi="宋体" w:cs="宋体"/>
          <w:color w:val="000000"/>
          <w:kern w:val="0"/>
          <w:szCs w:val="24"/>
        </w:rPr>
        <w:t>4、</w:t>
      </w:r>
      <w:r>
        <w:rPr>
          <w:rFonts w:hint="eastAsia" w:ascii="宋体" w:hAnsi="宋体" w:cs="宋体"/>
          <w:bCs/>
          <w:szCs w:val="24"/>
        </w:rPr>
        <w:t>产品的包装，国家或行业主管部门有规定的，按规定执行。</w:t>
      </w:r>
    </w:p>
    <w:p>
      <w:pPr>
        <w:pStyle w:val="19"/>
        <w:snapToGrid w:val="0"/>
        <w:spacing w:line="360" w:lineRule="auto"/>
        <w:ind w:firstLine="480"/>
        <w:textAlignment w:val="baseline"/>
        <w:rPr>
          <w:rFonts w:ascii="宋体" w:hAnsi="宋体" w:cs="宋体"/>
          <w:color w:val="000000"/>
          <w:kern w:val="0"/>
          <w:szCs w:val="24"/>
        </w:rPr>
      </w:pPr>
      <w:r>
        <w:rPr>
          <w:rFonts w:hint="eastAsia" w:ascii="宋体" w:hAnsi="宋体" w:cs="宋体"/>
          <w:color w:val="000000"/>
          <w:kern w:val="0"/>
          <w:szCs w:val="24"/>
        </w:rPr>
        <w:t>5、</w:t>
      </w:r>
      <w:r>
        <w:rPr>
          <w:rFonts w:hint="eastAsia" w:ascii="宋体" w:hAnsi="宋体" w:cs="宋体"/>
          <w:color w:val="000000"/>
          <w:szCs w:val="24"/>
        </w:rPr>
        <w:t>成交供应商</w:t>
      </w:r>
      <w:r>
        <w:rPr>
          <w:rFonts w:hint="eastAsia" w:ascii="宋体" w:hAnsi="宋体" w:cs="宋体"/>
          <w:color w:val="000000"/>
          <w:kern w:val="0"/>
          <w:szCs w:val="24"/>
        </w:rPr>
        <w:t>所提供的物资如出现质量问题，应及时且无条件负责更换为合格产品。</w:t>
      </w:r>
    </w:p>
    <w:p>
      <w:pPr>
        <w:snapToGrid w:val="0"/>
        <w:spacing w:line="360" w:lineRule="auto"/>
        <w:ind w:firstLine="480" w:firstLineChars="200"/>
        <w:textAlignment w:val="baseline"/>
        <w:rPr>
          <w:sz w:val="20"/>
        </w:rPr>
      </w:pPr>
      <w:r>
        <w:rPr>
          <w:rFonts w:hint="eastAsia" w:ascii="宋体" w:hAnsi="宋体" w:cs="宋体"/>
          <w:bCs/>
          <w:sz w:val="24"/>
          <w:szCs w:val="24"/>
        </w:rPr>
        <w:t>6、</w:t>
      </w:r>
      <w:r>
        <w:rPr>
          <w:rFonts w:hint="eastAsia" w:ascii="宋体" w:hAnsi="宋体" w:cs="宋体"/>
          <w:color w:val="000000"/>
          <w:sz w:val="24"/>
          <w:szCs w:val="24"/>
        </w:rPr>
        <w:t>成交供应商</w:t>
      </w:r>
      <w:r>
        <w:rPr>
          <w:rFonts w:hint="eastAsia" w:ascii="宋体" w:hAnsi="宋体" w:cs="宋体"/>
          <w:bCs/>
          <w:sz w:val="24"/>
          <w:szCs w:val="24"/>
        </w:rPr>
        <w:t>所供货物最终验收后，应对由于设计、工艺或材料的缺陷而发生的任何不足或故障负责，并承担由此引起的一切后果。</w:t>
      </w:r>
    </w:p>
    <w:p>
      <w:pPr>
        <w:pStyle w:val="19"/>
        <w:snapToGrid w:val="0"/>
        <w:spacing w:line="360" w:lineRule="auto"/>
        <w:ind w:firstLine="480"/>
        <w:textAlignment w:val="baseline"/>
        <w:rPr>
          <w:rFonts w:ascii="宋体" w:hAnsi="宋体" w:cs="宋体"/>
          <w:bCs/>
          <w:szCs w:val="24"/>
        </w:rPr>
      </w:pPr>
      <w:r>
        <w:rPr>
          <w:rFonts w:hint="eastAsia" w:ascii="宋体" w:hAnsi="宋体" w:cs="宋体"/>
          <w:kern w:val="0"/>
          <w:szCs w:val="24"/>
        </w:rPr>
        <w:t>7、</w:t>
      </w:r>
      <w:r>
        <w:rPr>
          <w:rFonts w:hint="eastAsia" w:ascii="宋体" w:hAnsi="宋体" w:cs="宋体"/>
          <w:color w:val="000000"/>
          <w:kern w:val="0"/>
          <w:szCs w:val="24"/>
          <w:lang w:val="zh-CN" w:bidi="zh-CN"/>
        </w:rPr>
        <w:t>在</w:t>
      </w:r>
      <w:r>
        <w:rPr>
          <w:rFonts w:hint="eastAsia" w:ascii="宋体" w:hAnsi="宋体" w:cs="宋体"/>
          <w:color w:val="000000"/>
          <w:kern w:val="0"/>
          <w:szCs w:val="24"/>
          <w:lang w:bidi="zh-CN"/>
        </w:rPr>
        <w:t>质保期</w:t>
      </w:r>
      <w:r>
        <w:rPr>
          <w:rFonts w:hint="eastAsia" w:ascii="宋体" w:hAnsi="宋体" w:cs="宋体"/>
          <w:color w:val="000000"/>
          <w:kern w:val="0"/>
          <w:szCs w:val="24"/>
          <w:lang w:val="zh-CN" w:bidi="zh-CN"/>
        </w:rPr>
        <w:t>内，</w:t>
      </w:r>
      <w:r>
        <w:rPr>
          <w:rFonts w:hint="eastAsia" w:ascii="宋体" w:hAnsi="宋体" w:cs="宋体"/>
          <w:color w:val="000000"/>
          <w:szCs w:val="24"/>
        </w:rPr>
        <w:t>成交供应商</w:t>
      </w:r>
      <w:r>
        <w:rPr>
          <w:rFonts w:hint="eastAsia" w:ascii="宋体" w:hAnsi="宋体" w:cs="宋体"/>
          <w:color w:val="000000"/>
          <w:kern w:val="0"/>
          <w:szCs w:val="24"/>
          <w:lang w:val="zh-CN" w:bidi="zh-CN"/>
        </w:rPr>
        <w:t>应对本项目出现的质量及安全问题负责处理解决并承担一切费用</w:t>
      </w:r>
      <w:r>
        <w:rPr>
          <w:rFonts w:hint="eastAsia" w:ascii="宋体" w:hAnsi="宋体" w:cs="宋体"/>
          <w:bCs/>
          <w:szCs w:val="24"/>
        </w:rPr>
        <w:t>。</w:t>
      </w:r>
    </w:p>
    <w:p>
      <w:pPr>
        <w:snapToGrid w:val="0"/>
        <w:spacing w:line="360" w:lineRule="auto"/>
        <w:ind w:firstLine="480" w:firstLineChars="200"/>
        <w:textAlignment w:val="baseline"/>
        <w:rPr>
          <w:sz w:val="20"/>
        </w:rPr>
      </w:pPr>
      <w:r>
        <w:rPr>
          <w:rFonts w:hint="eastAsia" w:ascii="宋体" w:hAnsi="宋体" w:cs="宋体"/>
          <w:bCs/>
          <w:sz w:val="24"/>
          <w:szCs w:val="24"/>
        </w:rPr>
        <w:t>8、</w:t>
      </w:r>
      <w:r>
        <w:rPr>
          <w:rFonts w:hint="eastAsia" w:ascii="宋体" w:hAnsi="宋体" w:cs="宋体"/>
          <w:color w:val="000000"/>
          <w:sz w:val="24"/>
          <w:szCs w:val="24"/>
        </w:rPr>
        <w:t>成交供应商</w:t>
      </w:r>
      <w:r>
        <w:rPr>
          <w:rFonts w:hint="eastAsia" w:ascii="宋体" w:hAnsi="宋体" w:cs="宋体"/>
          <w:bCs/>
          <w:sz w:val="24"/>
          <w:szCs w:val="24"/>
        </w:rPr>
        <w:t>应保证其货物在正确安装、正常使用和保养条件下，在其使用寿命期内应具有满意的性能。</w:t>
      </w:r>
    </w:p>
    <w:p>
      <w:pPr>
        <w:snapToGrid w:val="0"/>
        <w:spacing w:line="360" w:lineRule="auto"/>
        <w:ind w:firstLine="480" w:firstLineChars="200"/>
        <w:jc w:val="left"/>
        <w:textAlignment w:val="baseline"/>
        <w:rPr>
          <w:rFonts w:ascii="宋体" w:hAnsi="宋体" w:cs="宋体"/>
          <w:sz w:val="24"/>
          <w:szCs w:val="24"/>
        </w:rPr>
      </w:pPr>
      <w:r>
        <w:rPr>
          <w:rFonts w:hint="eastAsia" w:ascii="宋体" w:hAnsi="宋体" w:cs="宋体"/>
          <w:kern w:val="0"/>
          <w:sz w:val="24"/>
          <w:szCs w:val="24"/>
        </w:rPr>
        <w:t>9、</w:t>
      </w:r>
      <w:r>
        <w:rPr>
          <w:rFonts w:hint="eastAsia" w:ascii="宋体" w:hAnsi="宋体" w:cs="宋体"/>
          <w:color w:val="000000"/>
          <w:sz w:val="24"/>
          <w:szCs w:val="24"/>
        </w:rPr>
        <w:t>成交供应商</w:t>
      </w:r>
      <w:r>
        <w:rPr>
          <w:rFonts w:hint="eastAsia" w:ascii="宋体" w:hAnsi="宋体" w:cs="宋体"/>
          <w:bCs/>
          <w:sz w:val="24"/>
          <w:szCs w:val="24"/>
        </w:rPr>
        <w:t>应采取必要的安全措施保证货物的运输及安装的安全</w:t>
      </w:r>
      <w:r>
        <w:rPr>
          <w:rFonts w:hint="eastAsia" w:ascii="宋体" w:hAnsi="宋体" w:cs="宋体"/>
          <w:sz w:val="24"/>
          <w:szCs w:val="24"/>
        </w:rPr>
        <w:t>，</w:t>
      </w:r>
      <w:r>
        <w:rPr>
          <w:rFonts w:hint="eastAsia" w:ascii="宋体" w:hAnsi="宋体" w:cs="宋体"/>
          <w:bCs/>
          <w:sz w:val="24"/>
          <w:szCs w:val="24"/>
        </w:rPr>
        <w:t>并承担货物的运输及安装过程中产生的风险</w:t>
      </w:r>
      <w:r>
        <w:rPr>
          <w:rFonts w:hint="eastAsia" w:ascii="宋体" w:hAnsi="宋体" w:cs="宋体"/>
          <w:kern w:val="0"/>
          <w:sz w:val="24"/>
          <w:szCs w:val="24"/>
        </w:rPr>
        <w:t>。</w:t>
      </w:r>
    </w:p>
    <w:p>
      <w:pPr>
        <w:pStyle w:val="25"/>
        <w:snapToGrid w:val="0"/>
        <w:spacing w:line="360" w:lineRule="auto"/>
        <w:ind w:left="-420" w:leftChars="-200" w:right="-315" w:firstLine="960" w:firstLineChars="400"/>
        <w:textAlignment w:val="baseline"/>
        <w:rPr>
          <w:rFonts w:hAnsi="宋体" w:cs="宋体"/>
          <w:color w:val="000000"/>
          <w:sz w:val="24"/>
          <w:szCs w:val="24"/>
        </w:rPr>
      </w:pPr>
      <w:r>
        <w:rPr>
          <w:rFonts w:hint="eastAsia" w:hAnsi="宋体" w:cs="宋体"/>
          <w:color w:val="000000"/>
          <w:sz w:val="24"/>
          <w:szCs w:val="24"/>
        </w:rPr>
        <w:t>五、交货时间、地点及运输、装卸、安全费用：</w:t>
      </w:r>
    </w:p>
    <w:p>
      <w:pPr>
        <w:snapToGrid w:val="0"/>
        <w:spacing w:line="360" w:lineRule="auto"/>
        <w:ind w:firstLine="484" w:firstLineChars="202"/>
        <w:textAlignment w:val="baseline"/>
        <w:rPr>
          <w:rFonts w:ascii="宋体" w:hAnsi="宋体" w:cs="宋体"/>
          <w:bCs/>
          <w:sz w:val="24"/>
          <w:szCs w:val="24"/>
        </w:rPr>
      </w:pPr>
      <w:r>
        <w:rPr>
          <w:rFonts w:hint="eastAsia" w:ascii="宋体" w:hAnsi="宋体" w:cs="宋体"/>
          <w:color w:val="000000"/>
          <w:sz w:val="24"/>
          <w:szCs w:val="24"/>
        </w:rPr>
        <w:t>1、</w:t>
      </w:r>
      <w:r>
        <w:rPr>
          <w:rFonts w:hint="eastAsia" w:ascii="宋体" w:hAnsi="宋体" w:cs="宋体"/>
          <w:bCs/>
          <w:sz w:val="24"/>
          <w:szCs w:val="24"/>
        </w:rPr>
        <w:t>成交供应商须自合同签定之日起</w:t>
      </w:r>
      <w:r>
        <w:rPr>
          <w:rFonts w:hint="eastAsia" w:ascii="宋体" w:hAnsi="宋体" w:cs="宋体"/>
          <w:bCs/>
          <w:sz w:val="24"/>
          <w:szCs w:val="24"/>
          <w:highlight w:val="none"/>
          <w:u w:val="single" w:color="auto"/>
          <w:lang w:val="en-US" w:eastAsia="zh-CN"/>
        </w:rPr>
        <w:t xml:space="preserve"> 15</w:t>
      </w:r>
      <w:r>
        <w:rPr>
          <w:rFonts w:hint="eastAsia" w:ascii="宋体" w:hAnsi="宋体" w:cs="宋体"/>
          <w:bCs/>
          <w:sz w:val="24"/>
          <w:szCs w:val="24"/>
          <w:highlight w:val="none"/>
          <w:u w:val="single" w:color="auto"/>
        </w:rPr>
        <w:t>天</w:t>
      </w:r>
      <w:r>
        <w:rPr>
          <w:rFonts w:hint="eastAsia" w:ascii="宋体" w:hAnsi="宋体" w:cs="宋体"/>
          <w:bCs/>
          <w:sz w:val="24"/>
          <w:szCs w:val="24"/>
        </w:rPr>
        <w:t>内交货并安装调试结束，</w:t>
      </w:r>
      <w:r>
        <w:rPr>
          <w:rFonts w:hint="eastAsia" w:ascii="宋体" w:hAnsi="宋体" w:cs="宋体"/>
          <w:sz w:val="24"/>
          <w:szCs w:val="24"/>
        </w:rPr>
        <w:t>成交供应商自行负责安装后垃圾的处理及现场的复原</w:t>
      </w:r>
      <w:r>
        <w:rPr>
          <w:rFonts w:hint="eastAsia" w:ascii="宋体" w:hAnsi="宋体" w:cs="宋体"/>
          <w:bCs/>
          <w:sz w:val="24"/>
          <w:szCs w:val="24"/>
        </w:rPr>
        <w:t>。</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2、成交供应商发货到采购人指定地点前应先告知采购人。产品交货时，应提供到货产品、材料的清单等。若未提供或少提供相应的货物，采购人有权扣除成交供应商缴纳的所有履约保证金。</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3、按国家相关行业规定安装规范和标准完成安装、服务工作。</w:t>
      </w:r>
    </w:p>
    <w:p>
      <w:pPr>
        <w:widowControl/>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4、全部货物的外包装必须采用防漏、防潮、防震、防锈、防盗和考虑到可能会发生的野蛮装卸等长途运输及多次装卸之需要。如因成交供应商包装不当以及其它原因造成损坏或丢失，应由成交供应商负一切责任。</w:t>
      </w:r>
    </w:p>
    <w:p>
      <w:pPr>
        <w:widowControl/>
        <w:snapToGrid w:val="0"/>
        <w:spacing w:line="360" w:lineRule="auto"/>
        <w:ind w:firstLine="480" w:firstLineChars="200"/>
        <w:jc w:val="left"/>
        <w:textAlignment w:val="baseline"/>
        <w:rPr>
          <w:rFonts w:ascii="宋体" w:hAnsi="宋体" w:cs="宋体"/>
          <w:b/>
          <w:bCs/>
          <w:sz w:val="24"/>
        </w:rPr>
      </w:pPr>
      <w:r>
        <w:rPr>
          <w:rFonts w:hint="eastAsia" w:ascii="宋体" w:hAnsi="宋体" w:cs="宋体"/>
          <w:sz w:val="24"/>
        </w:rPr>
        <w:t>5、</w:t>
      </w:r>
      <w:r>
        <w:rPr>
          <w:rFonts w:hint="eastAsia" w:ascii="宋体" w:hAnsi="宋体" w:cs="宋体"/>
          <w:b/>
          <w:bCs/>
          <w:sz w:val="24"/>
        </w:rPr>
        <w:t>交货及安装地点：采购人指定地点。</w:t>
      </w:r>
    </w:p>
    <w:p>
      <w:pPr>
        <w:widowControl/>
        <w:snapToGrid w:val="0"/>
        <w:spacing w:line="360" w:lineRule="auto"/>
        <w:ind w:firstLine="480" w:firstLineChars="200"/>
        <w:jc w:val="left"/>
        <w:textAlignment w:val="baseline"/>
        <w:rPr>
          <w:rFonts w:ascii="宋体" w:hAnsi="宋体"/>
          <w:sz w:val="24"/>
          <w:szCs w:val="24"/>
        </w:rPr>
      </w:pPr>
      <w:r>
        <w:rPr>
          <w:rFonts w:hint="eastAsia" w:hAnsi="宋体" w:cs="宋体"/>
          <w:color w:val="000000"/>
          <w:sz w:val="24"/>
          <w:szCs w:val="24"/>
        </w:rPr>
        <w:t>6、</w:t>
      </w:r>
      <w:r>
        <w:rPr>
          <w:rFonts w:hint="eastAsia" w:ascii="宋体" w:hAnsi="宋体"/>
          <w:sz w:val="24"/>
          <w:szCs w:val="24"/>
        </w:rPr>
        <w:t>采购人</w:t>
      </w:r>
      <w:r>
        <w:rPr>
          <w:rFonts w:hint="eastAsia" w:ascii="宋体" w:hAnsi="宋体"/>
          <w:sz w:val="24"/>
          <w:szCs w:val="24"/>
          <w:lang w:val="zh-CN"/>
        </w:rPr>
        <w:t>如需追加</w:t>
      </w:r>
      <w:r>
        <w:rPr>
          <w:rFonts w:hint="eastAsia" w:ascii="宋体" w:hAnsi="宋体"/>
          <w:sz w:val="24"/>
          <w:szCs w:val="24"/>
        </w:rPr>
        <w:t>货物的数量</w:t>
      </w:r>
      <w:r>
        <w:rPr>
          <w:rFonts w:hint="eastAsia" w:ascii="宋体" w:hAnsi="宋体"/>
          <w:sz w:val="24"/>
          <w:szCs w:val="24"/>
          <w:lang w:val="zh-CN"/>
        </w:rPr>
        <w:t>，</w:t>
      </w:r>
      <w:r>
        <w:rPr>
          <w:rFonts w:hint="eastAsia" w:ascii="宋体" w:hAnsi="宋体"/>
          <w:sz w:val="24"/>
          <w:szCs w:val="24"/>
        </w:rPr>
        <w:t>成交供应商</w:t>
      </w:r>
      <w:r>
        <w:rPr>
          <w:rFonts w:hint="eastAsia" w:ascii="宋体" w:hAnsi="宋体"/>
          <w:sz w:val="24"/>
          <w:szCs w:val="24"/>
          <w:lang w:val="zh-CN"/>
        </w:rPr>
        <w:t>需按</w:t>
      </w:r>
      <w:r>
        <w:rPr>
          <w:rFonts w:hint="eastAsia" w:ascii="宋体" w:hAnsi="宋体"/>
          <w:sz w:val="24"/>
          <w:szCs w:val="24"/>
        </w:rPr>
        <w:t>采购人</w:t>
      </w:r>
      <w:r>
        <w:rPr>
          <w:rFonts w:hint="eastAsia" w:ascii="宋体" w:hAnsi="宋体"/>
          <w:sz w:val="24"/>
          <w:szCs w:val="24"/>
          <w:lang w:val="zh-CN"/>
        </w:rPr>
        <w:t>要求供货，</w:t>
      </w:r>
      <w:r>
        <w:rPr>
          <w:rFonts w:hint="eastAsia" w:ascii="宋体" w:hAnsi="宋体"/>
          <w:sz w:val="24"/>
          <w:szCs w:val="24"/>
        </w:rPr>
        <w:t>按最终成交</w:t>
      </w:r>
      <w:r>
        <w:rPr>
          <w:rFonts w:hint="eastAsia" w:ascii="宋体" w:hAnsi="宋体"/>
          <w:sz w:val="24"/>
          <w:szCs w:val="24"/>
          <w:lang w:val="zh-CN"/>
        </w:rPr>
        <w:t>单价*实际供货量进行结算。</w:t>
      </w:r>
    </w:p>
    <w:p>
      <w:pPr>
        <w:snapToGrid w:val="0"/>
        <w:spacing w:line="360" w:lineRule="auto"/>
        <w:ind w:firstLine="484" w:firstLineChars="202"/>
        <w:textAlignment w:val="baseline"/>
        <w:rPr>
          <w:rFonts w:ascii="宋体" w:hAnsi="宋体" w:cs="宋体"/>
          <w:b/>
          <w:bCs/>
          <w:sz w:val="24"/>
        </w:rPr>
      </w:pPr>
      <w:r>
        <w:rPr>
          <w:rFonts w:hint="eastAsia" w:ascii="宋体" w:hAnsi="宋体" w:cs="宋体"/>
          <w:sz w:val="24"/>
          <w:szCs w:val="24"/>
        </w:rPr>
        <w:t>六、</w:t>
      </w:r>
      <w:r>
        <w:rPr>
          <w:rFonts w:hint="eastAsia" w:ascii="宋体" w:hAnsi="宋体"/>
          <w:sz w:val="24"/>
          <w:szCs w:val="24"/>
        </w:rPr>
        <w:t>包装</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1、</w:t>
      </w:r>
      <w:r>
        <w:rPr>
          <w:rFonts w:hint="eastAsia" w:ascii="宋体" w:hAnsi="宋体" w:cs="宋体"/>
          <w:bCs/>
          <w:sz w:val="24"/>
          <w:szCs w:val="24"/>
        </w:rPr>
        <w:t>成交供应商</w:t>
      </w:r>
      <w:r>
        <w:rPr>
          <w:rFonts w:hint="eastAsia" w:ascii="宋体" w:hAnsi="宋体" w:cs="宋体"/>
          <w:sz w:val="24"/>
        </w:rPr>
        <w:t>提供的设备必须为原包装，在送交采购人验收前不得拆箱。</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2、</w:t>
      </w:r>
      <w:r>
        <w:rPr>
          <w:rFonts w:hint="eastAsia" w:ascii="宋体" w:hAnsi="宋体" w:cs="宋体"/>
          <w:bCs/>
          <w:sz w:val="24"/>
          <w:szCs w:val="24"/>
        </w:rPr>
        <w:t>成交供应商</w:t>
      </w:r>
      <w:r>
        <w:rPr>
          <w:rFonts w:hint="eastAsia" w:ascii="宋体" w:hAnsi="宋体" w:cs="宋体"/>
          <w:sz w:val="24"/>
        </w:rPr>
        <w:t>所出售的全部货物均应按标准保护措施进行包装，这类包装应适应于远距离运输、防潮、防震、防锈和防野蛮装卸等要求，以确保货物安全无损地运抵指定现场。</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rPr>
        <w:t>3、每一个包装箱内应附有出厂标准配置的有关技术、质量、三包等资料。</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七、其他</w:t>
      </w:r>
    </w:p>
    <w:p>
      <w:pPr>
        <w:snapToGrid w:val="0"/>
        <w:spacing w:line="360" w:lineRule="auto"/>
        <w:ind w:firstLine="480" w:firstLineChars="200"/>
        <w:jc w:val="left"/>
        <w:textAlignment w:val="baseline"/>
        <w:rPr>
          <w:rFonts w:ascii="宋体" w:hAnsi="宋体" w:cs="宋体"/>
          <w:b/>
          <w:color w:val="000000"/>
          <w:w w:val="80"/>
          <w:sz w:val="24"/>
          <w:szCs w:val="24"/>
        </w:rPr>
      </w:pPr>
      <w:r>
        <w:rPr>
          <w:rFonts w:hint="eastAsia" w:ascii="宋体" w:hAnsi="宋体" w:cs="宋体"/>
          <w:sz w:val="24"/>
          <w:szCs w:val="24"/>
        </w:rPr>
        <w:t>其他未尽事宜按磋商文件相关规定执行。如磋商文件或合同文件未提及，则由双方协商解决处理。</w:t>
      </w:r>
    </w:p>
    <w:p>
      <w:pPr>
        <w:snapToGrid w:val="0"/>
        <w:textAlignment w:val="baseline"/>
        <w:rPr>
          <w:rFonts w:hint="eastAsia" w:ascii="宋体" w:hAnsi="宋体" w:eastAsia="宋体" w:cs="宋体"/>
          <w:b/>
          <w:color w:val="000000"/>
          <w:w w:val="80"/>
          <w:sz w:val="44"/>
          <w:szCs w:val="44"/>
          <w:lang w:eastAsia="zh-CN"/>
        </w:rPr>
      </w:pPr>
    </w:p>
    <w:p>
      <w:pPr>
        <w:pStyle w:val="2"/>
        <w:rPr>
          <w:rFonts w:hint="eastAsia"/>
          <w:lang w:eastAsia="zh-CN"/>
        </w:rPr>
      </w:pPr>
    </w:p>
    <w:p>
      <w:pPr>
        <w:snapToGrid w:val="0"/>
        <w:textAlignment w:val="baseline"/>
        <w:rPr>
          <w:rFonts w:ascii="宋体" w:hAnsi="宋体" w:cs="宋体"/>
          <w:b/>
          <w:color w:val="000000"/>
          <w:w w:val="80"/>
          <w:sz w:val="44"/>
          <w:szCs w:val="44"/>
        </w:rPr>
      </w:pPr>
      <w:r>
        <w:rPr>
          <w:rFonts w:hint="eastAsia" w:ascii="宋体" w:hAnsi="宋体" w:cs="宋体"/>
          <w:b/>
          <w:color w:val="000000"/>
          <w:w w:val="80"/>
          <w:sz w:val="44"/>
          <w:szCs w:val="44"/>
        </w:rPr>
        <w:br w:type="page"/>
      </w:r>
    </w:p>
    <w:p>
      <w:pPr>
        <w:snapToGrid w:val="0"/>
        <w:spacing w:line="480" w:lineRule="exact"/>
        <w:ind w:firstLine="704" w:firstLineChars="200"/>
        <w:jc w:val="center"/>
        <w:textAlignment w:val="baseline"/>
        <w:rPr>
          <w:rFonts w:ascii="宋体" w:hAnsi="宋体" w:cs="宋体"/>
          <w:b/>
          <w:color w:val="000000"/>
          <w:w w:val="80"/>
          <w:sz w:val="44"/>
          <w:szCs w:val="44"/>
        </w:rPr>
      </w:pPr>
      <w:r>
        <w:rPr>
          <w:rFonts w:hint="eastAsia" w:ascii="宋体" w:hAnsi="宋体" w:cs="宋体"/>
          <w:b/>
          <w:color w:val="000000"/>
          <w:w w:val="80"/>
          <w:sz w:val="44"/>
          <w:szCs w:val="44"/>
        </w:rPr>
        <w:t xml:space="preserve">第四章  </w:t>
      </w:r>
      <w:bookmarkEnd w:id="35"/>
      <w:bookmarkEnd w:id="36"/>
      <w:bookmarkEnd w:id="37"/>
      <w:bookmarkEnd w:id="38"/>
      <w:bookmarkEnd w:id="39"/>
      <w:bookmarkEnd w:id="40"/>
      <w:bookmarkEnd w:id="41"/>
      <w:bookmarkEnd w:id="42"/>
      <w:bookmarkEnd w:id="43"/>
      <w:bookmarkEnd w:id="44"/>
      <w:bookmarkEnd w:id="45"/>
      <w:bookmarkStart w:id="47" w:name="_Toc11554642"/>
      <w:bookmarkStart w:id="48" w:name="_Toc11500283"/>
      <w:bookmarkStart w:id="49" w:name="_Toc94544873"/>
      <w:bookmarkStart w:id="50" w:name="_Toc13803484"/>
      <w:bookmarkStart w:id="51" w:name="_Toc8895742"/>
      <w:bookmarkStart w:id="52" w:name="_Toc94544747"/>
      <w:bookmarkStart w:id="53" w:name="_Toc12670506"/>
      <w:bookmarkStart w:id="54" w:name="_Toc11499587"/>
      <w:r>
        <w:rPr>
          <w:rFonts w:hint="eastAsia" w:ascii="宋体" w:hAnsi="宋体" w:cs="宋体"/>
          <w:b/>
          <w:color w:val="000000"/>
          <w:w w:val="80"/>
          <w:sz w:val="44"/>
          <w:szCs w:val="44"/>
        </w:rPr>
        <w:t>评审方法和程序</w:t>
      </w:r>
      <w:bookmarkEnd w:id="46"/>
    </w:p>
    <w:p>
      <w:pPr>
        <w:snapToGrid w:val="0"/>
        <w:spacing w:line="480" w:lineRule="exact"/>
        <w:ind w:firstLine="480" w:firstLineChars="200"/>
        <w:textAlignment w:val="baseline"/>
        <w:rPr>
          <w:rFonts w:ascii="宋体" w:hAnsi="宋体" w:cs="宋体"/>
          <w:b/>
          <w:color w:val="000000"/>
          <w:sz w:val="24"/>
          <w:szCs w:val="24"/>
        </w:rPr>
      </w:pPr>
      <w:bookmarkStart w:id="55" w:name="_Toc363573857"/>
      <w:bookmarkEnd w:id="55"/>
    </w:p>
    <w:p>
      <w:pPr>
        <w:snapToGrid w:val="0"/>
        <w:spacing w:line="360" w:lineRule="auto"/>
        <w:ind w:firstLine="480" w:firstLineChars="200"/>
        <w:textAlignment w:val="baseline"/>
        <w:rPr>
          <w:rFonts w:ascii="宋体" w:hAnsi="宋体" w:cs="宋体"/>
          <w:b/>
          <w:color w:val="000000"/>
          <w:sz w:val="24"/>
          <w:szCs w:val="24"/>
        </w:rPr>
      </w:pPr>
      <w:r>
        <w:rPr>
          <w:rFonts w:hint="eastAsia" w:ascii="宋体" w:hAnsi="宋体" w:cs="宋体"/>
          <w:b/>
          <w:color w:val="000000"/>
          <w:sz w:val="24"/>
          <w:szCs w:val="24"/>
        </w:rPr>
        <w:t>一、代理机构组织磋商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1、本次竞争性磋商参照《中华人民共和国政府采购法》、《政府采购竞争性磋商采购方式管理暂行办法》及有关法规成立磋商小组。磋商小组由评审专家共3人组成。</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3、磋商小组的职责：</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（1）磋商小组成员应当按照客观、公正、审慎的原则，根据磋商文件规定的评审程序、评审方法和评审标准进行独立评审。</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（2）磋商小组成员应当遵守评审工作纪律，不得泄露评审情况和评审中获悉的商业秘密，对个人的评审意见承担法律责任。</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（3）磋商小组成员在评审过程中发现供应商有行贿、提供虚假材料或者串通等违法行为的，应当及时向财政部门报告,并建议将其列入政府采购黑名单。</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（4）磋商小组成员在评审过程中受到非法干涉的，应当及时向财政、监察等部门举报。</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（5）配合采购人答复供应商提出的质疑；配合财政部门的投诉处理和监督检查工作。</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4、评审有关记录由磋商小组成员签名，存档备查。</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5、供应商的法定代表人或被授权人须持身份证准时参加磋商开标会。</w:t>
      </w:r>
    </w:p>
    <w:p>
      <w:pPr>
        <w:snapToGrid w:val="0"/>
        <w:spacing w:line="360" w:lineRule="auto"/>
        <w:ind w:firstLine="480" w:firstLineChars="200"/>
        <w:textAlignment w:val="baseline"/>
        <w:rPr>
          <w:rFonts w:ascii="宋体" w:hAnsi="宋体" w:cs="宋体"/>
          <w:b/>
          <w:color w:val="000000"/>
          <w:sz w:val="24"/>
          <w:szCs w:val="24"/>
        </w:rPr>
      </w:pPr>
      <w:r>
        <w:rPr>
          <w:rFonts w:hint="eastAsia" w:ascii="宋体" w:hAnsi="宋体" w:cs="宋体"/>
          <w:b/>
          <w:color w:val="000000"/>
          <w:sz w:val="24"/>
          <w:szCs w:val="24"/>
        </w:rPr>
        <w:t>二、磋商的原则及方法</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1、磋商小组按照《中华人民共和国政府采购法》、《政府采购竞争性磋商采购方式管理暂行办法》以及有关政府采购的相关法规，遵循“公开、公平、公正、择优、信用”的原则进行磋商评审。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textAlignment w:val="baseline"/>
        <w:rPr>
          <w:rFonts w:ascii="宋体" w:hAnsi="宋体" w:cs="宋体"/>
          <w:sz w:val="24"/>
          <w:szCs w:val="24"/>
        </w:rPr>
      </w:pPr>
      <w:r>
        <w:rPr>
          <w:rFonts w:hint="eastAsia" w:ascii="宋体" w:hAnsi="宋体" w:cs="宋体"/>
          <w:sz w:val="24"/>
          <w:szCs w:val="24"/>
        </w:rPr>
        <w:t xml:space="preserve">2、磋商小组将按照竞争性磋商文件的规定，独立对每个进入打分程序的有效投标供应商的响应文件的技术部分以打分的形式进行评审和评价。技术分是所有评委打分的算术平均值（计算结果均四舍五入保留两位小数）。 </w:t>
      </w:r>
    </w:p>
    <w:p>
      <w:pPr>
        <w:snapToGrid w:val="0"/>
        <w:spacing w:line="360" w:lineRule="auto"/>
        <w:ind w:firstLine="484" w:firstLineChars="202"/>
        <w:textAlignment w:val="baseline"/>
        <w:rPr>
          <w:rFonts w:ascii="宋体" w:hAnsi="宋体" w:cs="宋体"/>
          <w:sz w:val="24"/>
          <w:szCs w:val="24"/>
        </w:rPr>
      </w:pPr>
      <w:r>
        <w:rPr>
          <w:rFonts w:hint="eastAsia" w:ascii="宋体" w:hAnsi="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4、磋商小组所有成员应当集中与单一供应商分别进行磋商，并给予所有参加磋商的供应商平等的磋商机会。</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6、对磋商文件作出的实质性变动是磋商文件的有效组成部分，磋商小组应当及时以书面形式同时通知所有参加磋商的供应商。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7、经磋商确定最终采购需求和提交最后报价的供应商：磋商文件能够详细列明采购标的的技术、服务要求的，磋商结束后，磋商小组应当要求所有实质性响应的供应商在规定时间内提交最后报价。</w:t>
      </w:r>
    </w:p>
    <w:p>
      <w:pPr>
        <w:pStyle w:val="19"/>
        <w:snapToGrid w:val="0"/>
        <w:spacing w:line="360" w:lineRule="auto"/>
        <w:ind w:firstLine="480" w:firstLineChars="200"/>
        <w:textAlignment w:val="baseline"/>
      </w:pPr>
      <w:r>
        <w:rPr>
          <w:rFonts w:hint="eastAsia" w:ascii="宋体" w:hAnsi="宋体" w:cs="宋体"/>
          <w:szCs w:val="24"/>
        </w:rPr>
        <w:t>8、磋商文件不能详细列明采购标的的技术、服务要求，需经磋商由供应商提供最终方案或解决方案的，磋商结束后，磋商小组应当按照少数服从多数的原则投票推荐3家以上供应商的最终方案或者解决方案，并要求其在规定时间内提交最后报价。</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9、除非在磋商中磋商小组对采购人需求内容作了调整增加，或对采购内容作了实质性变更，否则</w:t>
      </w:r>
      <w:r>
        <w:rPr>
          <w:rFonts w:hint="eastAsia" w:ascii="宋体" w:hAnsi="宋体" w:cs="宋体"/>
          <w:b/>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10、对于在磋商顺利开始后至最终报价前，根据磋商情况退出磋商的供应商，须以书面形式说明退出磋商的原因，经磋商小组同意可以退出磋商。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11、在磋商中，磋商的任何一方不得透露与磋商有关的其他响应磋商的供应商的技术资料、价格及其他信息。</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12、凡两家或以上公司同一法人代表或其中一家公司为另一家公司单一最大股东的，不能同时参与同一采购项目相同标段的磋商采购活动，一经发现，将视同串标处理。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0" w:firstLineChars="200"/>
        <w:textAlignment w:val="baseline"/>
        <w:rPr>
          <w:rFonts w:ascii="宋体" w:hAnsi="宋体" w:cs="宋体"/>
          <w:b/>
          <w:bCs/>
          <w:sz w:val="24"/>
          <w:szCs w:val="24"/>
        </w:rPr>
      </w:pPr>
      <w:r>
        <w:rPr>
          <w:rFonts w:hint="eastAsia" w:ascii="宋体" w:hAnsi="宋体" w:cs="宋体"/>
          <w:b/>
          <w:bCs/>
          <w:sz w:val="24"/>
          <w:szCs w:val="24"/>
        </w:rPr>
        <w:t>三、评审步骤</w:t>
      </w:r>
    </w:p>
    <w:p>
      <w:pPr>
        <w:snapToGrid w:val="0"/>
        <w:spacing w:line="360" w:lineRule="auto"/>
        <w:ind w:firstLine="480" w:firstLineChars="200"/>
        <w:textAlignment w:val="baseline"/>
        <w:rPr>
          <w:rFonts w:ascii="宋体" w:hAnsi="宋体" w:cs="宋体"/>
          <w:b/>
          <w:bCs/>
          <w:sz w:val="24"/>
          <w:szCs w:val="24"/>
          <w:lang w:val="zh-CN"/>
        </w:rPr>
      </w:pPr>
      <w:r>
        <w:rPr>
          <w:rFonts w:hint="eastAsia" w:ascii="宋体" w:hAnsi="宋体" w:cs="宋体"/>
          <w:b/>
          <w:bCs/>
          <w:sz w:val="24"/>
          <w:szCs w:val="24"/>
          <w:lang w:val="zh-CN"/>
        </w:rPr>
        <w:t>1、评审步骤规定：</w:t>
      </w:r>
    </w:p>
    <w:p>
      <w:pPr>
        <w:snapToGrid w:val="0"/>
        <w:spacing w:line="360" w:lineRule="auto"/>
        <w:ind w:firstLine="480" w:firstLineChars="200"/>
        <w:textAlignment w:val="baseline"/>
        <w:rPr>
          <w:rFonts w:ascii="宋体" w:hAnsi="宋体" w:cs="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textAlignment w:val="baseline"/>
        <w:rPr>
          <w:rFonts w:ascii="宋体" w:hAnsi="宋体" w:cs="宋体"/>
          <w:sz w:val="24"/>
          <w:szCs w:val="24"/>
          <w:lang w:val="zh-CN"/>
        </w:rPr>
      </w:pPr>
      <w:r>
        <w:rPr>
          <w:rFonts w:hint="eastAsia" w:ascii="宋体" w:hAnsi="宋体" w:cs="宋体"/>
          <w:sz w:val="24"/>
          <w:szCs w:val="24"/>
        </w:rPr>
        <w:t>资格符合性评审——技术响应文件评审——商务报价响应文件评审——确定成交供应商</w:t>
      </w:r>
    </w:p>
    <w:p>
      <w:pPr>
        <w:snapToGrid w:val="0"/>
        <w:spacing w:line="360" w:lineRule="auto"/>
        <w:ind w:firstLine="480" w:firstLineChars="200"/>
        <w:textAlignment w:val="baseline"/>
        <w:rPr>
          <w:rFonts w:ascii="宋体" w:hAnsi="宋体" w:cs="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textAlignment w:val="baseline"/>
        <w:rPr>
          <w:rFonts w:ascii="宋体" w:hAnsi="宋体" w:cs="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评审</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磋商小组严格按照磋商文件的要求、条件、评分标准，对投标供应商所提供的服务的先进性、可靠性、售后服务承诺、质量保证承诺等实质性响应内容进行比较。</w:t>
      </w:r>
    </w:p>
    <w:p>
      <w:pPr>
        <w:snapToGrid w:val="0"/>
        <w:spacing w:line="360" w:lineRule="auto"/>
        <w:ind w:firstLine="480" w:firstLineChars="200"/>
        <w:textAlignment w:val="baseline"/>
        <w:rPr>
          <w:rFonts w:ascii="宋体" w:hAnsi="宋体" w:cs="宋体"/>
          <w:sz w:val="24"/>
          <w:szCs w:val="24"/>
          <w:lang w:val="zh-CN"/>
        </w:rPr>
      </w:pPr>
      <w:r>
        <w:rPr>
          <w:rFonts w:hint="eastAsia" w:ascii="宋体" w:hAnsi="宋体" w:cs="宋体"/>
          <w:sz w:val="24"/>
          <w:szCs w:val="24"/>
          <w:lang w:val="zh-CN"/>
        </w:rPr>
        <w:t>第三阶段：以</w:t>
      </w:r>
      <w:r>
        <w:rPr>
          <w:rFonts w:hint="eastAsia" w:ascii="宋体" w:hAnsi="宋体" w:cs="宋体"/>
          <w:sz w:val="24"/>
          <w:szCs w:val="24"/>
        </w:rPr>
        <w:t>磋商</w:t>
      </w:r>
      <w:r>
        <w:rPr>
          <w:rFonts w:hint="eastAsia" w:ascii="宋体" w:hAnsi="宋体" w:cs="宋体"/>
          <w:sz w:val="24"/>
          <w:szCs w:val="24"/>
          <w:lang w:val="zh-CN"/>
        </w:rPr>
        <w:t>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磋商小组与磋商</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w:t>
      </w:r>
      <w:r>
        <w:rPr>
          <w:rFonts w:hint="eastAsia" w:ascii="宋体" w:hAnsi="宋体" w:cs="宋体"/>
          <w:sz w:val="24"/>
          <w:szCs w:val="24"/>
        </w:rPr>
        <w:t>磋商</w:t>
      </w:r>
      <w:r>
        <w:rPr>
          <w:rFonts w:hint="eastAsia" w:ascii="宋体" w:hAnsi="宋体" w:cs="宋体"/>
          <w:sz w:val="24"/>
          <w:szCs w:val="24"/>
          <w:lang w:val="zh-CN"/>
        </w:rPr>
        <w:t>明确各供应商符合并满足</w:t>
      </w:r>
      <w:r>
        <w:rPr>
          <w:rFonts w:hint="eastAsia" w:ascii="宋体" w:hAnsi="宋体" w:cs="宋体"/>
          <w:sz w:val="24"/>
          <w:szCs w:val="24"/>
        </w:rPr>
        <w:t>磋商</w:t>
      </w:r>
      <w:r>
        <w:rPr>
          <w:rFonts w:hint="eastAsia" w:ascii="宋体" w:hAnsi="宋体" w:cs="宋体"/>
          <w:sz w:val="24"/>
          <w:szCs w:val="24"/>
          <w:lang w:val="zh-CN"/>
        </w:rPr>
        <w:t>文件要求，并能完全响应</w:t>
      </w:r>
      <w:r>
        <w:rPr>
          <w:rFonts w:hint="eastAsia" w:ascii="宋体" w:hAnsi="宋体" w:cs="宋体"/>
          <w:sz w:val="24"/>
          <w:szCs w:val="24"/>
        </w:rPr>
        <w:t>磋商</w:t>
      </w:r>
      <w:r>
        <w:rPr>
          <w:rFonts w:hint="eastAsia" w:ascii="宋体" w:hAnsi="宋体" w:cs="宋体"/>
          <w:sz w:val="24"/>
          <w:szCs w:val="24"/>
          <w:lang w:val="zh-CN"/>
        </w:rPr>
        <w:t>内容后，要求其</w:t>
      </w:r>
      <w:r>
        <w:rPr>
          <w:rFonts w:hint="eastAsia" w:ascii="宋体" w:hAnsi="宋体" w:cs="宋体"/>
          <w:sz w:val="24"/>
          <w:szCs w:val="24"/>
        </w:rPr>
        <w:t>最终</w:t>
      </w:r>
      <w:r>
        <w:rPr>
          <w:rFonts w:hint="eastAsia" w:ascii="宋体" w:hAnsi="宋体" w:cs="宋体"/>
          <w:sz w:val="24"/>
          <w:szCs w:val="24"/>
          <w:lang w:val="zh-CN"/>
        </w:rPr>
        <w:t>报价。如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 xml:space="preserve">应当以书面形式通知所有供应商。  </w:t>
      </w:r>
    </w:p>
    <w:p>
      <w:pPr>
        <w:snapToGrid w:val="0"/>
        <w:spacing w:line="360" w:lineRule="auto"/>
        <w:ind w:firstLine="480" w:firstLineChars="200"/>
        <w:textAlignment w:val="baseline"/>
        <w:rPr>
          <w:rFonts w:ascii="宋体" w:hAnsi="宋体" w:cs="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要求所有作出实质性响应的有效供应商在规定的时间内给出最终</w:t>
      </w:r>
      <w:r>
        <w:rPr>
          <w:rFonts w:hint="eastAsia" w:ascii="宋体" w:hAnsi="宋体" w:cs="宋体"/>
          <w:sz w:val="24"/>
          <w:szCs w:val="24"/>
        </w:rPr>
        <w:t>单价和总价</w:t>
      </w:r>
      <w:r>
        <w:rPr>
          <w:rFonts w:hint="eastAsia" w:ascii="宋体" w:hAnsi="宋体" w:cs="宋体"/>
          <w:sz w:val="24"/>
          <w:szCs w:val="24"/>
          <w:lang w:val="zh-CN"/>
        </w:rPr>
        <w:t>报价，同时最终报价中可包括但不限于如最终澄清方案、有关优惠承诺等。</w:t>
      </w:r>
    </w:p>
    <w:p>
      <w:pPr>
        <w:snapToGrid w:val="0"/>
        <w:spacing w:line="360" w:lineRule="auto"/>
        <w:ind w:firstLine="480" w:firstLineChars="200"/>
        <w:textAlignment w:val="baseline"/>
        <w:rPr>
          <w:rFonts w:ascii="宋体" w:hAnsi="宋体" w:cs="宋体"/>
          <w:b/>
          <w:bCs/>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b/>
          <w:bCs/>
          <w:sz w:val="24"/>
          <w:szCs w:val="24"/>
        </w:rPr>
        <w:t>磋商小组</w:t>
      </w:r>
      <w:r>
        <w:rPr>
          <w:rFonts w:hint="eastAsia" w:ascii="宋体" w:hAnsi="宋体" w:cs="宋体"/>
          <w:b/>
          <w:bCs/>
          <w:sz w:val="24"/>
          <w:szCs w:val="24"/>
          <w:lang w:val="zh-CN"/>
        </w:rPr>
        <w:t>将校核后的各供应商的</w:t>
      </w:r>
      <w:r>
        <w:rPr>
          <w:rFonts w:hint="eastAsia" w:ascii="宋体" w:hAnsi="宋体" w:cs="宋体"/>
          <w:b/>
          <w:bCs/>
          <w:sz w:val="24"/>
          <w:szCs w:val="24"/>
        </w:rPr>
        <w:t>得分从高到低</w:t>
      </w:r>
      <w:r>
        <w:rPr>
          <w:rFonts w:hint="eastAsia" w:ascii="宋体" w:hAnsi="宋体" w:cs="宋体"/>
          <w:b/>
          <w:bCs/>
          <w:sz w:val="24"/>
          <w:szCs w:val="24"/>
          <w:lang w:val="zh-CN"/>
        </w:rPr>
        <w:t>排序。</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lang w:val="zh-CN"/>
        </w:rPr>
        <w:t>2、在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0" w:firstLineChars="200"/>
        <w:textAlignment w:val="baseline"/>
        <w:rPr>
          <w:rFonts w:ascii="宋体" w:hAnsi="宋体" w:cs="宋体"/>
          <w:b/>
          <w:sz w:val="24"/>
          <w:szCs w:val="24"/>
        </w:rPr>
      </w:pPr>
      <w:r>
        <w:rPr>
          <w:rFonts w:hint="eastAsia" w:ascii="宋体" w:hAnsi="宋体" w:cs="宋体"/>
          <w:b/>
          <w:sz w:val="24"/>
          <w:szCs w:val="24"/>
        </w:rPr>
        <w:t>四、磋商评定结果的方法</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w:t>
      </w:r>
      <w:r>
        <w:rPr>
          <w:rFonts w:hint="eastAsia" w:ascii="宋体" w:hAnsi="宋体" w:cs="宋体"/>
          <w:b/>
          <w:sz w:val="24"/>
          <w:szCs w:val="24"/>
          <w:u w:val="single" w:color="000000"/>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sz w:val="24"/>
          <w:szCs w:val="24"/>
          <w:u w:val="single" w:color="000000"/>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 xml:space="preserve">评审总分值为100分。两部分评审因素比重如下： </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技术</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color="000000"/>
        </w:rPr>
        <w:t>70%（权重）</w:t>
      </w:r>
      <w:r>
        <w:rPr>
          <w:rFonts w:hint="eastAsia" w:ascii="宋体" w:hAnsi="宋体" w:cs="宋体"/>
          <w:sz w:val="24"/>
          <w:szCs w:val="24"/>
        </w:rPr>
        <w:t>（四舍五入保留两位小数）；</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color="000000"/>
        </w:rPr>
        <w:t xml:space="preserve">30%（权重） </w:t>
      </w:r>
      <w:r>
        <w:rPr>
          <w:rFonts w:hint="eastAsia" w:ascii="宋体" w:hAnsi="宋体" w:cs="宋体"/>
          <w:sz w:val="24"/>
          <w:szCs w:val="24"/>
        </w:rPr>
        <w:t>（四舍五入保留两位小数）。</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 xml:space="preserve">结果均四舍五入保留两位小数。 </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6、综合得分最高的供应商推荐为项目预成交供应商并出具评审磋商报告。</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7、确定成交候选人的特殊情况处理：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（1）若总分相同，则按最终报价得分高者优先成交。</w:t>
      </w:r>
    </w:p>
    <w:p>
      <w:pPr>
        <w:snapToGrid w:val="0"/>
        <w:spacing w:line="360" w:lineRule="auto"/>
        <w:ind w:firstLine="480" w:firstLineChars="200"/>
        <w:textAlignment w:val="baseline"/>
        <w:rPr>
          <w:rFonts w:ascii="宋体" w:hAnsi="宋体" w:cs="宋体"/>
          <w:dstrike/>
          <w:sz w:val="24"/>
          <w:szCs w:val="24"/>
        </w:rPr>
      </w:pPr>
      <w:r>
        <w:rPr>
          <w:rFonts w:hint="eastAsia" w:ascii="宋体" w:hAnsi="宋体" w:cs="宋体"/>
          <w:sz w:val="24"/>
          <w:szCs w:val="24"/>
        </w:rPr>
        <w:t>（2）若总分且最终报价得分相同，则采取现场抽签的方式确定（由投标供应商按递交响应文件签到顺序号抽签确定）。</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8、磋商评审时，评委对评审的细则若有争议，由磋商小组集体讨论确定，并对未尽情况有最终解释权。</w:t>
      </w:r>
    </w:p>
    <w:p>
      <w:pPr>
        <w:snapToGrid w:val="0"/>
        <w:spacing w:line="360" w:lineRule="auto"/>
        <w:ind w:firstLine="480" w:firstLineChars="200"/>
        <w:textAlignment w:val="baseline"/>
        <w:rPr>
          <w:rFonts w:ascii="宋体" w:hAnsi="宋体" w:cs="宋体"/>
          <w:bCs/>
          <w:sz w:val="24"/>
          <w:szCs w:val="24"/>
        </w:rPr>
      </w:pPr>
      <w:r>
        <w:rPr>
          <w:rFonts w:hint="eastAsia" w:ascii="宋体" w:hAnsi="宋体" w:cs="宋体"/>
          <w:bCs/>
          <w:sz w:val="24"/>
          <w:szCs w:val="24"/>
        </w:rPr>
        <w:t>9、对落标的供应商不做落标原因的解释。</w:t>
      </w:r>
    </w:p>
    <w:p>
      <w:pPr>
        <w:snapToGrid w:val="0"/>
        <w:spacing w:line="360" w:lineRule="auto"/>
        <w:ind w:firstLine="480" w:firstLineChars="200"/>
        <w:textAlignment w:val="baseline"/>
        <w:rPr>
          <w:rFonts w:ascii="宋体"/>
          <w:b/>
          <w:bCs/>
          <w:sz w:val="24"/>
          <w:szCs w:val="24"/>
        </w:rPr>
      </w:pPr>
      <w:r>
        <w:rPr>
          <w:rFonts w:hint="eastAsia" w:ascii="宋体" w:hAnsi="宋体" w:cs="宋体"/>
          <w:b/>
          <w:sz w:val="24"/>
          <w:szCs w:val="24"/>
        </w:rPr>
        <w:t>五、综合评分评审标准</w:t>
      </w:r>
    </w:p>
    <w:p>
      <w:pPr>
        <w:snapToGrid w:val="0"/>
        <w:spacing w:line="360" w:lineRule="auto"/>
        <w:ind w:firstLine="240" w:firstLineChars="100"/>
        <w:textAlignment w:val="baseline"/>
        <w:rPr>
          <w:rFonts w:ascii="宋体" w:hAnsi="宋体" w:cs="宋体"/>
          <w:b/>
          <w:bCs/>
          <w:sz w:val="24"/>
          <w:szCs w:val="24"/>
        </w:rPr>
      </w:pPr>
      <w:r>
        <w:rPr>
          <w:rFonts w:hint="eastAsia" w:ascii="宋体" w:hAnsi="宋体" w:cs="宋体"/>
          <w:b/>
          <w:bCs/>
          <w:sz w:val="24"/>
          <w:szCs w:val="24"/>
        </w:rPr>
        <w:t>（一）技术标评分：（7</w:t>
      </w:r>
      <w:r>
        <w:rPr>
          <w:rFonts w:ascii="宋体" w:hAnsi="宋体" w:cs="宋体"/>
          <w:b/>
          <w:bCs/>
          <w:sz w:val="24"/>
          <w:szCs w:val="24"/>
        </w:rPr>
        <w:t>0</w:t>
      </w:r>
      <w:r>
        <w:rPr>
          <w:rFonts w:hint="eastAsia" w:ascii="宋体" w:hAnsi="宋体" w:cs="宋体"/>
          <w:b/>
          <w:bCs/>
          <w:sz w:val="24"/>
          <w:szCs w:val="24"/>
        </w:rPr>
        <w:t>分）</w:t>
      </w:r>
    </w:p>
    <w:tbl>
      <w:tblPr>
        <w:tblStyle w:val="51"/>
        <w:tblW w:w="9616" w:type="dxa"/>
        <w:tblInd w:w="-106" w:type="dxa"/>
        <w:tblLayout w:type="autofit"/>
        <w:tblCellMar>
          <w:top w:w="0" w:type="dxa"/>
          <w:left w:w="108" w:type="dxa"/>
          <w:bottom w:w="0" w:type="dxa"/>
          <w:right w:w="108" w:type="dxa"/>
        </w:tblCellMar>
      </w:tblPr>
      <w:tblGrid>
        <w:gridCol w:w="510"/>
        <w:gridCol w:w="1239"/>
        <w:gridCol w:w="6972"/>
        <w:gridCol w:w="895"/>
      </w:tblGrid>
      <w:tr>
        <w:tblPrEx>
          <w:tblCellMar>
            <w:top w:w="0" w:type="dxa"/>
            <w:left w:w="108" w:type="dxa"/>
            <w:bottom w:w="0" w:type="dxa"/>
            <w:right w:w="108" w:type="dxa"/>
          </w:tblCellMar>
        </w:tblPrEx>
        <w:trPr>
          <w:trHeight w:val="502" w:hRule="atLeast"/>
        </w:trPr>
        <w:tc>
          <w:tcPr>
            <w:tcW w:w="5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baseline"/>
              <w:rPr>
                <w:rFonts w:ascii="宋体"/>
                <w:b/>
                <w:bCs/>
                <w:kern w:val="0"/>
                <w:sz w:val="24"/>
                <w:szCs w:val="24"/>
              </w:rPr>
            </w:pPr>
            <w:r>
              <w:rPr>
                <w:rFonts w:hint="eastAsia" w:ascii="宋体" w:hAnsi="宋体" w:cs="宋体"/>
                <w:b/>
                <w:bCs/>
                <w:kern w:val="0"/>
                <w:sz w:val="24"/>
                <w:szCs w:val="24"/>
              </w:rPr>
              <w:t>序号</w:t>
            </w:r>
          </w:p>
        </w:tc>
        <w:tc>
          <w:tcPr>
            <w:tcW w:w="1239"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宋体" w:hAnsi="宋体" w:cs="宋体"/>
                <w:b/>
                <w:bCs/>
                <w:kern w:val="0"/>
                <w:sz w:val="24"/>
                <w:szCs w:val="24"/>
              </w:rPr>
            </w:pPr>
            <w:r>
              <w:rPr>
                <w:rFonts w:hint="eastAsia" w:ascii="宋体" w:hAnsi="宋体" w:cs="宋体"/>
                <w:b/>
                <w:bCs/>
                <w:kern w:val="0"/>
                <w:sz w:val="24"/>
                <w:szCs w:val="24"/>
              </w:rPr>
              <w:t>评分</w:t>
            </w:r>
          </w:p>
          <w:p>
            <w:pPr>
              <w:widowControl/>
              <w:snapToGrid w:val="0"/>
              <w:jc w:val="center"/>
              <w:textAlignment w:val="baseline"/>
              <w:rPr>
                <w:rFonts w:ascii="宋体"/>
                <w:b/>
                <w:bCs/>
                <w:kern w:val="0"/>
                <w:sz w:val="24"/>
                <w:szCs w:val="24"/>
              </w:rPr>
            </w:pPr>
            <w:r>
              <w:rPr>
                <w:rFonts w:hint="eastAsia" w:ascii="宋体" w:hAnsi="宋体" w:cs="宋体"/>
                <w:b/>
                <w:bCs/>
                <w:kern w:val="0"/>
                <w:sz w:val="24"/>
                <w:szCs w:val="24"/>
              </w:rPr>
              <w:t>因素</w:t>
            </w:r>
          </w:p>
        </w:tc>
        <w:tc>
          <w:tcPr>
            <w:tcW w:w="6972"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宋体"/>
                <w:b/>
                <w:bCs/>
                <w:kern w:val="0"/>
                <w:sz w:val="24"/>
                <w:szCs w:val="24"/>
              </w:rPr>
            </w:pPr>
            <w:r>
              <w:rPr>
                <w:rFonts w:hint="eastAsia" w:ascii="宋体" w:hAnsi="宋体" w:cs="宋体"/>
                <w:b/>
                <w:bCs/>
                <w:kern w:val="0"/>
                <w:sz w:val="24"/>
                <w:szCs w:val="24"/>
              </w:rPr>
              <w:t>评审标准</w:t>
            </w:r>
          </w:p>
        </w:tc>
        <w:tc>
          <w:tcPr>
            <w:tcW w:w="895" w:type="dxa"/>
            <w:tcBorders>
              <w:top w:val="single" w:color="auto" w:sz="4" w:space="0"/>
              <w:left w:val="nil"/>
              <w:bottom w:val="single" w:color="auto" w:sz="4" w:space="0"/>
              <w:right w:val="single" w:color="auto" w:sz="4" w:space="0"/>
            </w:tcBorders>
          </w:tcPr>
          <w:p>
            <w:pPr>
              <w:widowControl/>
              <w:snapToGrid w:val="0"/>
              <w:jc w:val="center"/>
              <w:textAlignment w:val="baseline"/>
              <w:rPr>
                <w:rFonts w:ascii="宋体" w:hAnsi="宋体" w:cs="宋体"/>
                <w:b/>
                <w:bCs/>
                <w:kern w:val="0"/>
                <w:sz w:val="24"/>
                <w:szCs w:val="24"/>
              </w:rPr>
            </w:pPr>
            <w:r>
              <w:rPr>
                <w:rFonts w:hint="eastAsia" w:ascii="宋体" w:hAnsi="宋体" w:cs="宋体"/>
                <w:b/>
                <w:bCs/>
                <w:kern w:val="0"/>
                <w:sz w:val="24"/>
                <w:szCs w:val="24"/>
              </w:rPr>
              <w:t>满分</w:t>
            </w:r>
          </w:p>
          <w:p>
            <w:pPr>
              <w:pStyle w:val="19"/>
              <w:snapToGrid w:val="0"/>
              <w:jc w:val="center"/>
              <w:textAlignment w:val="baseline"/>
              <w:rPr>
                <w:szCs w:val="22"/>
              </w:rPr>
            </w:pPr>
            <w:r>
              <w:rPr>
                <w:rFonts w:hint="eastAsia" w:ascii="宋体" w:hAnsi="宋体" w:cs="宋体"/>
                <w:b/>
                <w:bCs/>
                <w:kern w:val="0"/>
                <w:szCs w:val="24"/>
              </w:rPr>
              <w:t>分值</w:t>
            </w:r>
          </w:p>
        </w:tc>
      </w:tr>
      <w:tr>
        <w:tblPrEx>
          <w:tblCellMar>
            <w:top w:w="0" w:type="dxa"/>
            <w:left w:w="108" w:type="dxa"/>
            <w:bottom w:w="0" w:type="dxa"/>
            <w:right w:w="108" w:type="dxa"/>
          </w:tblCellMar>
        </w:tblPrEx>
        <w:trPr>
          <w:trHeight w:val="3171" w:hRule="atLeast"/>
        </w:trPr>
        <w:tc>
          <w:tcPr>
            <w:tcW w:w="510" w:type="dxa"/>
            <w:vMerge w:val="restart"/>
            <w:tcBorders>
              <w:top w:val="single" w:color="auto" w:sz="4" w:space="0"/>
              <w:left w:val="single" w:color="auto" w:sz="4" w:space="0"/>
              <w:right w:val="single" w:color="auto" w:sz="4" w:space="0"/>
            </w:tcBorders>
            <w:vAlign w:val="center"/>
          </w:tcPr>
          <w:p>
            <w:pPr>
              <w:widowControl/>
              <w:snapToGrid w:val="0"/>
              <w:spacing w:line="360" w:lineRule="exact"/>
              <w:jc w:val="center"/>
              <w:textAlignment w:val="baseline"/>
              <w:rPr>
                <w:rFonts w:ascii="宋体" w:hAnsi="宋体" w:cs="宋体"/>
                <w:sz w:val="24"/>
                <w:szCs w:val="24"/>
              </w:rPr>
            </w:pPr>
            <w:r>
              <w:rPr>
                <w:rFonts w:hint="eastAsia" w:ascii="宋体" w:hAnsi="宋体" w:cs="宋体"/>
                <w:sz w:val="24"/>
                <w:szCs w:val="24"/>
              </w:rPr>
              <w:t>1</w:t>
            </w:r>
          </w:p>
        </w:tc>
        <w:tc>
          <w:tcPr>
            <w:tcW w:w="1239" w:type="dxa"/>
            <w:vMerge w:val="restart"/>
            <w:tcBorders>
              <w:top w:val="single" w:color="auto" w:sz="4" w:space="0"/>
              <w:left w:val="single" w:color="auto" w:sz="4" w:space="0"/>
              <w:right w:val="single" w:color="auto" w:sz="4" w:space="0"/>
            </w:tcBorders>
            <w:vAlign w:val="center"/>
          </w:tcPr>
          <w:p>
            <w:pPr>
              <w:widowControl/>
              <w:snapToGrid w:val="0"/>
              <w:spacing w:line="360" w:lineRule="exact"/>
              <w:jc w:val="center"/>
              <w:textAlignment w:val="baseline"/>
              <w:rPr>
                <w:rFonts w:ascii="宋体" w:hAnsi="宋体" w:cs="宋体"/>
                <w:sz w:val="24"/>
                <w:szCs w:val="24"/>
              </w:rPr>
            </w:pPr>
            <w:r>
              <w:rPr>
                <w:rFonts w:hint="eastAsia" w:ascii="宋体" w:hAnsi="宋体" w:cs="宋体"/>
                <w:bCs/>
                <w:sz w:val="24"/>
                <w:szCs w:val="24"/>
              </w:rPr>
              <w:t>企业实力评价</w:t>
            </w:r>
          </w:p>
        </w:tc>
        <w:tc>
          <w:tcPr>
            <w:tcW w:w="69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1、供应商具备有效的ISO27001信息安全管理体系认证证书，得2分；</w:t>
            </w:r>
          </w:p>
          <w:p>
            <w:pPr>
              <w:widowControl/>
              <w:jc w:val="left"/>
              <w:rPr>
                <w:rFonts w:ascii="宋体" w:hAnsi="宋体" w:cs="宋体"/>
                <w:color w:val="auto"/>
                <w:kern w:val="0"/>
                <w:sz w:val="24"/>
                <w:szCs w:val="24"/>
              </w:rPr>
            </w:pPr>
            <w:r>
              <w:rPr>
                <w:rFonts w:hint="eastAsia" w:ascii="宋体" w:hAnsi="宋体" w:cs="宋体"/>
                <w:color w:val="auto"/>
                <w:kern w:val="0"/>
                <w:sz w:val="24"/>
                <w:szCs w:val="24"/>
              </w:rPr>
              <w:t>2、供应商具备有效的ISO9001质量管理体系认证证书，得2分；</w:t>
            </w:r>
          </w:p>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 供应商具备有效的ISO18000或ISO45001职业健康安全管理体系认证证书，得2分；</w:t>
            </w:r>
          </w:p>
          <w:p>
            <w:pPr>
              <w:widowControl/>
              <w:jc w:val="left"/>
              <w:rPr>
                <w:rFonts w:ascii="宋体" w:hAnsi="宋体" w:cs="宋体"/>
                <w:color w:val="auto"/>
                <w:kern w:val="0"/>
                <w:sz w:val="24"/>
                <w:szCs w:val="24"/>
              </w:rPr>
            </w:pPr>
            <w:r>
              <w:rPr>
                <w:rFonts w:hint="eastAsia" w:ascii="宋体" w:hAnsi="宋体" w:cs="宋体"/>
                <w:color w:val="auto"/>
                <w:kern w:val="0"/>
                <w:sz w:val="24"/>
                <w:szCs w:val="24"/>
              </w:rPr>
              <w:t>4. 供应商具备有效的ISO14001环境管理体系认证证书，得2分。</w:t>
            </w:r>
          </w:p>
          <w:p>
            <w:pPr>
              <w:pStyle w:val="2"/>
              <w:ind w:firstLine="0" w:firstLineChars="0"/>
              <w:rPr>
                <w:rFonts w:ascii="宋体" w:hAnsi="宋体" w:cs="宋体"/>
                <w:b/>
                <w:bCs/>
                <w:color w:val="auto"/>
                <w:szCs w:val="24"/>
              </w:rPr>
            </w:pPr>
            <w:r>
              <w:rPr>
                <w:rFonts w:hint="eastAsia" w:ascii="宋体" w:hAnsi="宋体" w:cs="宋体"/>
                <w:b/>
                <w:bCs/>
                <w:color w:val="auto"/>
                <w:szCs w:val="24"/>
              </w:rPr>
              <w:t>注：须同时提供①认证证书在“国家认证认可监督管理委员会”网页（http://www.cnca.gov.cn/）的截图，并加盖供应商公章；②认证证书原件的复印件或扫描件，并加盖供应商公章。原件备查。</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textAlignment w:val="baseline"/>
              <w:rPr>
                <w:rFonts w:ascii="宋体" w:hAnsi="宋体" w:cs="宋体"/>
                <w:color w:val="auto"/>
                <w:sz w:val="24"/>
                <w:szCs w:val="24"/>
              </w:rPr>
            </w:pPr>
            <w:r>
              <w:rPr>
                <w:rFonts w:hint="eastAsia" w:ascii="宋体" w:hAnsi="宋体" w:cs="宋体"/>
                <w:color w:val="auto"/>
                <w:sz w:val="24"/>
                <w:szCs w:val="24"/>
              </w:rPr>
              <w:t>8</w:t>
            </w:r>
          </w:p>
        </w:tc>
      </w:tr>
      <w:tr>
        <w:tblPrEx>
          <w:tblCellMar>
            <w:top w:w="0" w:type="dxa"/>
            <w:left w:w="108" w:type="dxa"/>
            <w:bottom w:w="0" w:type="dxa"/>
            <w:right w:w="108" w:type="dxa"/>
          </w:tblCellMar>
        </w:tblPrEx>
        <w:trPr>
          <w:trHeight w:val="1458" w:hRule="atLeast"/>
        </w:trPr>
        <w:tc>
          <w:tcPr>
            <w:tcW w:w="510" w:type="dxa"/>
            <w:vMerge w:val="continue"/>
            <w:tcBorders>
              <w:left w:val="single" w:color="auto" w:sz="4" w:space="0"/>
              <w:bottom w:val="single" w:color="auto" w:sz="4" w:space="0"/>
              <w:right w:val="single" w:color="auto" w:sz="4" w:space="0"/>
            </w:tcBorders>
            <w:vAlign w:val="center"/>
          </w:tcPr>
          <w:p>
            <w:pPr>
              <w:widowControl/>
              <w:snapToGrid w:val="0"/>
              <w:spacing w:line="360" w:lineRule="exact"/>
              <w:jc w:val="center"/>
              <w:textAlignment w:val="baseline"/>
              <w:rPr>
                <w:rFonts w:ascii="宋体" w:hAnsi="宋体" w:cs="宋体"/>
                <w:sz w:val="24"/>
                <w:szCs w:val="24"/>
              </w:rPr>
            </w:pPr>
          </w:p>
        </w:tc>
        <w:tc>
          <w:tcPr>
            <w:tcW w:w="1239" w:type="dxa"/>
            <w:vMerge w:val="continue"/>
            <w:tcBorders>
              <w:left w:val="single" w:color="auto" w:sz="4" w:space="0"/>
              <w:bottom w:val="single" w:color="auto" w:sz="4" w:space="0"/>
              <w:right w:val="single" w:color="auto" w:sz="4" w:space="0"/>
            </w:tcBorders>
            <w:vAlign w:val="center"/>
          </w:tcPr>
          <w:p>
            <w:pPr>
              <w:widowControl/>
              <w:snapToGrid w:val="0"/>
              <w:spacing w:line="360" w:lineRule="exact"/>
              <w:jc w:val="center"/>
              <w:textAlignment w:val="baseline"/>
              <w:rPr>
                <w:rFonts w:ascii="宋体" w:hAnsi="宋体" w:cs="宋体"/>
                <w:bCs/>
                <w:sz w:val="24"/>
                <w:szCs w:val="24"/>
              </w:rPr>
            </w:pPr>
          </w:p>
        </w:tc>
        <w:tc>
          <w:tcPr>
            <w:tcW w:w="6972" w:type="dxa"/>
            <w:tcBorders>
              <w:top w:val="single" w:color="auto" w:sz="4" w:space="0"/>
              <w:left w:val="single" w:color="auto" w:sz="4" w:space="0"/>
              <w:bottom w:val="single" w:color="auto" w:sz="4" w:space="0"/>
              <w:right w:val="single" w:color="auto" w:sz="4" w:space="0"/>
            </w:tcBorders>
            <w:vAlign w:val="center"/>
          </w:tcPr>
          <w:p>
            <w:pPr>
              <w:pStyle w:val="65"/>
              <w:spacing w:line="360" w:lineRule="exact"/>
              <w:ind w:firstLine="0" w:firstLineChars="0"/>
              <w:rPr>
                <w:rFonts w:ascii="宋体" w:hAnsi="宋体" w:cs="仿宋"/>
                <w:color w:val="auto"/>
                <w:sz w:val="24"/>
              </w:rPr>
            </w:pPr>
            <w:r>
              <w:rPr>
                <w:rFonts w:hint="eastAsia" w:ascii="宋体" w:hAnsi="宋体" w:cs="宋体"/>
                <w:color w:val="auto"/>
                <w:kern w:val="0"/>
                <w:sz w:val="24"/>
                <w:szCs w:val="24"/>
              </w:rPr>
              <w:t>1、供应商具备有效的</w:t>
            </w:r>
            <w:r>
              <w:rPr>
                <w:rFonts w:hint="eastAsia" w:hAnsi="宋体" w:cs="仿宋"/>
                <w:color w:val="auto"/>
                <w:sz w:val="24"/>
              </w:rPr>
              <w:t>企业信用AAA等级证书，得2分；</w:t>
            </w:r>
          </w:p>
          <w:p>
            <w:pPr>
              <w:widowControl/>
              <w:jc w:val="left"/>
              <w:rPr>
                <w:rFonts w:ascii="宋体" w:hAnsi="宋体" w:cs="宋体"/>
                <w:color w:val="auto"/>
                <w:kern w:val="0"/>
                <w:sz w:val="24"/>
                <w:szCs w:val="24"/>
              </w:rPr>
            </w:pPr>
            <w:r>
              <w:rPr>
                <w:rFonts w:hint="eastAsia" w:ascii="宋体" w:hAnsi="宋体" w:cs="宋体"/>
                <w:color w:val="auto"/>
                <w:kern w:val="0"/>
                <w:sz w:val="24"/>
                <w:szCs w:val="24"/>
              </w:rPr>
              <w:t>2、供应商具备有效的ITSS信息技术服务运行维护标准符合性证书，得4分；</w:t>
            </w:r>
          </w:p>
          <w:p>
            <w:pPr>
              <w:widowControl/>
              <w:jc w:val="left"/>
              <w:rPr>
                <w:rFonts w:ascii="宋体" w:hAnsi="宋体" w:cs="仿宋"/>
                <w:color w:val="auto"/>
                <w:sz w:val="24"/>
              </w:rPr>
            </w:pPr>
            <w:r>
              <w:rPr>
                <w:rFonts w:hint="eastAsia" w:ascii="宋体" w:hAnsi="宋体" w:cs="宋体"/>
                <w:color w:val="auto"/>
                <w:kern w:val="0"/>
                <w:sz w:val="24"/>
                <w:szCs w:val="24"/>
              </w:rPr>
              <w:t>3、供应商具备有效的安防工程企业设计施工维护能力一级证书，得2分。</w:t>
            </w:r>
          </w:p>
          <w:p>
            <w:pPr>
              <w:pStyle w:val="2"/>
              <w:ind w:firstLine="0" w:firstLineChars="0"/>
              <w:rPr>
                <w:rFonts w:ascii="宋体" w:hAnsi="宋体" w:cs="宋体"/>
                <w:b/>
                <w:bCs/>
                <w:color w:val="auto"/>
                <w:szCs w:val="24"/>
              </w:rPr>
            </w:pPr>
            <w:r>
              <w:rPr>
                <w:rFonts w:hint="eastAsia" w:ascii="宋体" w:hAnsi="宋体" w:cs="宋体"/>
                <w:b/>
                <w:bCs/>
                <w:color w:val="auto"/>
                <w:szCs w:val="24"/>
              </w:rPr>
              <w:t>注：须提供证书原件的复印件或扫描件，并加盖供应商公章。原件备查。</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textAlignment w:val="baseline"/>
              <w:rPr>
                <w:rFonts w:ascii="宋体" w:hAnsi="宋体" w:cs="宋体"/>
                <w:color w:val="auto"/>
                <w:sz w:val="24"/>
                <w:szCs w:val="24"/>
              </w:rPr>
            </w:pPr>
            <w:r>
              <w:rPr>
                <w:rFonts w:hint="eastAsia" w:ascii="宋体" w:hAnsi="宋体" w:cs="宋体"/>
                <w:color w:val="auto"/>
                <w:sz w:val="24"/>
                <w:szCs w:val="24"/>
              </w:rPr>
              <w:t>8</w:t>
            </w:r>
          </w:p>
        </w:tc>
      </w:tr>
      <w:tr>
        <w:tblPrEx>
          <w:tblCellMar>
            <w:top w:w="0" w:type="dxa"/>
            <w:left w:w="108" w:type="dxa"/>
            <w:bottom w:w="0" w:type="dxa"/>
            <w:right w:w="108" w:type="dxa"/>
          </w:tblCellMar>
        </w:tblPrEx>
        <w:trPr>
          <w:trHeight w:val="496" w:hRule="atLeast"/>
        </w:trPr>
        <w:tc>
          <w:tcPr>
            <w:tcW w:w="5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baseline"/>
              <w:rPr>
                <w:rFonts w:ascii="宋体" w:hAnsi="宋体" w:cs="宋体"/>
                <w:sz w:val="24"/>
                <w:szCs w:val="24"/>
              </w:rPr>
            </w:pPr>
            <w:r>
              <w:rPr>
                <w:rFonts w:hint="eastAsia" w:ascii="宋体" w:hAnsi="宋体" w:cs="宋体"/>
                <w:sz w:val="24"/>
                <w:szCs w:val="24"/>
              </w:rPr>
              <w:t>2</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 w:val="24"/>
                <w:szCs w:val="24"/>
              </w:rPr>
            </w:pPr>
            <w:r>
              <w:rPr>
                <w:rFonts w:hint="eastAsia" w:ascii="宋体" w:hAnsi="宋体" w:cs="宋体"/>
                <w:bCs/>
                <w:sz w:val="24"/>
                <w:szCs w:val="24"/>
              </w:rPr>
              <w:t>项目组人员能力</w:t>
            </w:r>
          </w:p>
        </w:tc>
        <w:tc>
          <w:tcPr>
            <w:tcW w:w="69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1、拟派技术负责人具有高级信息系统项目管理师证书，得2分；</w:t>
            </w:r>
          </w:p>
          <w:p>
            <w:pPr>
              <w:widowControl/>
              <w:jc w:val="left"/>
              <w:rPr>
                <w:rFonts w:ascii="宋体" w:hAnsi="宋体" w:cs="宋体"/>
                <w:color w:val="auto"/>
                <w:kern w:val="0"/>
                <w:sz w:val="24"/>
                <w:szCs w:val="24"/>
              </w:rPr>
            </w:pPr>
            <w:r>
              <w:rPr>
                <w:rFonts w:hint="eastAsia" w:ascii="宋体" w:hAnsi="宋体" w:cs="宋体"/>
                <w:color w:val="auto"/>
                <w:kern w:val="0"/>
                <w:sz w:val="24"/>
                <w:szCs w:val="24"/>
              </w:rPr>
              <w:t>2、拟派项目经理</w:t>
            </w:r>
            <w:r>
              <w:rPr>
                <w:rFonts w:hint="eastAsia" w:ascii="宋体" w:hAnsi="宋体"/>
                <w:color w:val="auto"/>
                <w:sz w:val="24"/>
                <w:szCs w:val="24"/>
              </w:rPr>
              <w:t>具有机电</w:t>
            </w:r>
            <w:r>
              <w:rPr>
                <w:rFonts w:hint="eastAsia" w:ascii="宋体" w:hAnsi="宋体" w:cs="宋体"/>
                <w:color w:val="auto"/>
                <w:sz w:val="24"/>
              </w:rPr>
              <w:t>专业贰级及以上的</w:t>
            </w:r>
            <w:r>
              <w:rPr>
                <w:rFonts w:hint="eastAsia" w:ascii="宋体" w:hAnsi="宋体"/>
                <w:color w:val="auto"/>
                <w:sz w:val="24"/>
              </w:rPr>
              <w:t>注册建造师资质</w:t>
            </w:r>
            <w:r>
              <w:rPr>
                <w:rFonts w:hint="eastAsia" w:ascii="宋体" w:hAnsi="宋体" w:cs="宋体"/>
                <w:color w:val="auto"/>
                <w:kern w:val="0"/>
                <w:sz w:val="24"/>
                <w:szCs w:val="24"/>
              </w:rPr>
              <w:t>，得2分；</w:t>
            </w:r>
          </w:p>
          <w:p>
            <w:pPr>
              <w:snapToGrid w:val="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w:t>
            </w:r>
            <w:r>
              <w:rPr>
                <w:rFonts w:hint="eastAsia" w:ascii="宋体" w:hAnsi="宋体" w:cs="宋体"/>
                <w:color w:val="auto"/>
                <w:kern w:val="0"/>
                <w:sz w:val="24"/>
                <w:szCs w:val="24"/>
              </w:rPr>
              <w:t>拟派</w:t>
            </w:r>
            <w:r>
              <w:rPr>
                <w:rFonts w:hint="eastAsia" w:ascii="宋体" w:hAnsi="宋体" w:cs="宋体"/>
                <w:color w:val="auto"/>
                <w:sz w:val="24"/>
                <w:szCs w:val="24"/>
              </w:rPr>
              <w:t>项目组成员具有系统集成项目管理工程师证书，得</w:t>
            </w:r>
            <w:r>
              <w:rPr>
                <w:rFonts w:hint="eastAsia" w:ascii="宋体" w:cs="宋体"/>
                <w:color w:val="auto"/>
                <w:sz w:val="24"/>
                <w:szCs w:val="24"/>
              </w:rPr>
              <w:t>2</w:t>
            </w:r>
            <w:r>
              <w:rPr>
                <w:rFonts w:hint="eastAsia" w:ascii="宋体" w:hAnsi="宋体" w:cs="宋体"/>
                <w:color w:val="auto"/>
                <w:sz w:val="24"/>
                <w:szCs w:val="24"/>
              </w:rPr>
              <w:t>分。</w:t>
            </w:r>
          </w:p>
          <w:p>
            <w:pPr>
              <w:pStyle w:val="2"/>
              <w:snapToGrid w:val="0"/>
              <w:spacing w:after="0"/>
              <w:ind w:firstLine="0" w:firstLineChars="0"/>
              <w:rPr>
                <w:rFonts w:ascii="宋体" w:hAnsi="宋体" w:cs="宋体"/>
                <w:b/>
                <w:bCs/>
                <w:color w:val="auto"/>
                <w:szCs w:val="24"/>
              </w:rPr>
            </w:pPr>
            <w:r>
              <w:rPr>
                <w:rFonts w:hint="eastAsia" w:ascii="宋体" w:hAnsi="宋体" w:cs="宋体"/>
                <w:b/>
                <w:bCs/>
                <w:color w:val="auto"/>
                <w:szCs w:val="24"/>
              </w:rPr>
              <w:t>注：须同时提供①相关证书原件的复印件或扫描件；②拟派人员与供应商签订的有效劳动合同复印件或扫描件；③</w:t>
            </w:r>
            <w:r>
              <w:rPr>
                <w:rFonts w:hint="eastAsia" w:ascii="宋体" w:hAnsi="宋体" w:cs="宋体"/>
                <w:b/>
                <w:bCs/>
                <w:color w:val="auto"/>
                <w:kern w:val="0"/>
                <w:szCs w:val="24"/>
              </w:rPr>
              <w:t>社保机构出具且盖章的磋商响应供应商为其连续交纳的近6个月（至少缴纳至2021年9月）的养老保险缴费清单复印件或扫描件</w:t>
            </w:r>
            <w:r>
              <w:rPr>
                <w:rFonts w:hint="eastAsia" w:ascii="宋体" w:hAnsi="宋体" w:cs="宋体"/>
                <w:b/>
                <w:bCs/>
                <w:color w:val="auto"/>
                <w:szCs w:val="24"/>
              </w:rPr>
              <w:t>。</w:t>
            </w:r>
          </w:p>
          <w:p>
            <w:pPr>
              <w:pStyle w:val="2"/>
              <w:ind w:firstLine="0" w:firstLineChars="0"/>
              <w:rPr>
                <w:color w:val="auto"/>
              </w:rPr>
            </w:pPr>
            <w:r>
              <w:rPr>
                <w:rFonts w:hint="eastAsia" w:ascii="宋体" w:hAnsi="宋体" w:cs="宋体"/>
                <w:b/>
                <w:bCs/>
                <w:color w:val="auto"/>
                <w:szCs w:val="24"/>
              </w:rPr>
              <w:t>所有复印件或扫描件须加盖供应商公章，并加盖供应商公章。原件备查。</w:t>
            </w:r>
          </w:p>
        </w:tc>
        <w:tc>
          <w:tcPr>
            <w:tcW w:w="8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rPr>
            </w:pPr>
            <w:r>
              <w:rPr>
                <w:rFonts w:hint="eastAsia" w:ascii="宋体" w:hAnsi="宋体" w:cs="宋体"/>
                <w:color w:val="auto"/>
                <w:sz w:val="24"/>
                <w:szCs w:val="24"/>
              </w:rPr>
              <w:t>6</w:t>
            </w:r>
          </w:p>
        </w:tc>
      </w:tr>
      <w:tr>
        <w:tblPrEx>
          <w:tblCellMar>
            <w:top w:w="0" w:type="dxa"/>
            <w:left w:w="108" w:type="dxa"/>
            <w:bottom w:w="0" w:type="dxa"/>
            <w:right w:w="108" w:type="dxa"/>
          </w:tblCellMar>
        </w:tblPrEx>
        <w:trPr>
          <w:trHeight w:val="929" w:hRule="atLeast"/>
        </w:trPr>
        <w:tc>
          <w:tcPr>
            <w:tcW w:w="510" w:type="dxa"/>
            <w:vMerge w:val="restart"/>
            <w:tcBorders>
              <w:top w:val="single" w:color="auto" w:sz="4" w:space="0"/>
              <w:left w:val="single" w:color="auto" w:sz="4" w:space="0"/>
              <w:right w:val="single" w:color="auto" w:sz="4" w:space="0"/>
            </w:tcBorders>
            <w:vAlign w:val="center"/>
          </w:tcPr>
          <w:p>
            <w:pPr>
              <w:widowControl/>
              <w:snapToGrid w:val="0"/>
              <w:spacing w:line="360" w:lineRule="exact"/>
              <w:jc w:val="center"/>
              <w:textAlignment w:val="baseline"/>
              <w:rPr>
                <w:rFonts w:ascii="宋体" w:hAnsi="宋体" w:cs="宋体"/>
                <w:sz w:val="24"/>
                <w:szCs w:val="24"/>
              </w:rPr>
            </w:pPr>
            <w:r>
              <w:rPr>
                <w:rFonts w:hint="eastAsia" w:ascii="宋体" w:hAnsi="宋体" w:cs="宋体"/>
                <w:sz w:val="24"/>
                <w:szCs w:val="24"/>
              </w:rPr>
              <w:t>3</w:t>
            </w:r>
          </w:p>
        </w:tc>
        <w:tc>
          <w:tcPr>
            <w:tcW w:w="1239" w:type="dxa"/>
            <w:vMerge w:val="restart"/>
            <w:tcBorders>
              <w:top w:val="single" w:color="auto" w:sz="4" w:space="0"/>
              <w:left w:val="single" w:color="auto" w:sz="4" w:space="0"/>
              <w:right w:val="single" w:color="auto" w:sz="4" w:space="0"/>
            </w:tcBorders>
            <w:vAlign w:val="center"/>
          </w:tcPr>
          <w:p>
            <w:pPr>
              <w:widowControl/>
              <w:snapToGrid w:val="0"/>
              <w:jc w:val="center"/>
              <w:textAlignment w:val="baseline"/>
              <w:rPr>
                <w:rFonts w:ascii="宋体" w:hAnsi="宋体" w:cs="宋体"/>
                <w:sz w:val="24"/>
                <w:szCs w:val="24"/>
              </w:rPr>
            </w:pPr>
            <w:r>
              <w:rPr>
                <w:rFonts w:hint="eastAsia" w:ascii="宋体" w:hAnsi="宋体" w:cs="宋体"/>
                <w:bCs/>
                <w:sz w:val="24"/>
                <w:szCs w:val="24"/>
              </w:rPr>
              <w:t>所投产品质量及技术要求</w:t>
            </w:r>
          </w:p>
        </w:tc>
        <w:tc>
          <w:tcPr>
            <w:tcW w:w="6972"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baseline"/>
              <w:rPr>
                <w:rFonts w:ascii="宋体" w:hAnsi="宋体" w:cs="宋体"/>
                <w:color w:val="auto"/>
                <w:kern w:val="0"/>
                <w:sz w:val="24"/>
                <w:szCs w:val="24"/>
              </w:rPr>
            </w:pPr>
            <w:r>
              <w:rPr>
                <w:rFonts w:hint="eastAsia" w:ascii="宋体" w:hAnsi="宋体" w:cs="宋体"/>
                <w:color w:val="auto"/>
                <w:kern w:val="0"/>
                <w:sz w:val="24"/>
                <w:szCs w:val="24"/>
              </w:rPr>
              <w:t>所投产品的制造商具备有效的：</w:t>
            </w:r>
          </w:p>
          <w:p>
            <w:pPr>
              <w:widowControl/>
              <w:snapToGrid w:val="0"/>
              <w:jc w:val="left"/>
              <w:textAlignment w:val="baseline"/>
              <w:rPr>
                <w:rFonts w:ascii="宋体" w:hAnsi="宋体" w:cs="宋体"/>
                <w:color w:val="auto"/>
                <w:kern w:val="0"/>
                <w:sz w:val="24"/>
                <w:szCs w:val="24"/>
              </w:rPr>
            </w:pPr>
            <w:r>
              <w:rPr>
                <w:rFonts w:hint="eastAsia" w:ascii="宋体" w:hAnsi="宋体" w:cs="宋体"/>
                <w:color w:val="auto"/>
                <w:kern w:val="0"/>
                <w:sz w:val="24"/>
                <w:szCs w:val="24"/>
              </w:rPr>
              <w:t>1、《公务用枪智能指纹网络管理系统软件》登记证书；</w:t>
            </w:r>
          </w:p>
          <w:p>
            <w:pPr>
              <w:widowControl/>
              <w:snapToGrid w:val="0"/>
              <w:jc w:val="left"/>
              <w:textAlignment w:val="baseline"/>
              <w:rPr>
                <w:rFonts w:ascii="宋体" w:hAnsi="宋体" w:cs="宋体"/>
                <w:color w:val="auto"/>
                <w:kern w:val="0"/>
                <w:sz w:val="24"/>
                <w:szCs w:val="24"/>
              </w:rPr>
            </w:pPr>
            <w:r>
              <w:rPr>
                <w:rFonts w:hint="eastAsia" w:ascii="宋体" w:hAnsi="宋体" w:cs="宋体"/>
                <w:color w:val="auto"/>
                <w:kern w:val="0"/>
                <w:sz w:val="24"/>
                <w:szCs w:val="24"/>
              </w:rPr>
              <w:t>2、《人脸检测比对软件》登记证书；</w:t>
            </w:r>
          </w:p>
          <w:p>
            <w:pPr>
              <w:widowControl/>
              <w:snapToGrid w:val="0"/>
              <w:jc w:val="left"/>
              <w:textAlignment w:val="baseline"/>
              <w:rPr>
                <w:rFonts w:ascii="宋体" w:hAnsi="宋体" w:cs="宋体"/>
                <w:color w:val="auto"/>
                <w:kern w:val="0"/>
                <w:sz w:val="24"/>
                <w:szCs w:val="24"/>
              </w:rPr>
            </w:pPr>
            <w:r>
              <w:rPr>
                <w:rFonts w:hint="eastAsia" w:ascii="宋体" w:hAnsi="宋体" w:cs="宋体"/>
                <w:color w:val="auto"/>
                <w:kern w:val="0"/>
                <w:sz w:val="24"/>
                <w:szCs w:val="24"/>
              </w:rPr>
              <w:t>3、国家公安部出具的枪弹柜产品检验报告，并符合《枪支弹药专用保险柜》(GA1051-2013)标准。</w:t>
            </w:r>
          </w:p>
          <w:p>
            <w:pPr>
              <w:widowControl/>
              <w:snapToGrid w:val="0"/>
              <w:jc w:val="left"/>
              <w:textAlignment w:val="baseline"/>
              <w:rPr>
                <w:rFonts w:ascii="宋体" w:hAnsi="宋体" w:cs="宋体"/>
                <w:color w:val="auto"/>
                <w:kern w:val="0"/>
                <w:sz w:val="24"/>
                <w:szCs w:val="24"/>
              </w:rPr>
            </w:pPr>
            <w:r>
              <w:rPr>
                <w:rFonts w:hint="eastAsia" w:ascii="宋体" w:hAnsi="宋体" w:cs="宋体"/>
                <w:color w:val="auto"/>
                <w:kern w:val="0"/>
                <w:sz w:val="24"/>
                <w:szCs w:val="24"/>
              </w:rPr>
              <w:t>每提供1份得2分，本项最高得6分。</w:t>
            </w:r>
          </w:p>
          <w:p>
            <w:pPr>
              <w:widowControl/>
              <w:snapToGrid w:val="0"/>
              <w:jc w:val="left"/>
              <w:textAlignment w:val="baseline"/>
              <w:rPr>
                <w:rFonts w:ascii="宋体" w:hAnsi="宋体" w:cs="宋体"/>
                <w:b/>
                <w:bCs/>
                <w:color w:val="auto"/>
                <w:sz w:val="24"/>
                <w:szCs w:val="24"/>
              </w:rPr>
            </w:pPr>
            <w:r>
              <w:rPr>
                <w:rFonts w:hint="eastAsia" w:ascii="宋体" w:hAnsi="宋体" w:cs="仿宋"/>
                <w:b/>
                <w:bCs/>
                <w:color w:val="auto"/>
                <w:sz w:val="24"/>
              </w:rPr>
              <w:t>注：须提供相关证书或检验报告原件的复印件或扫描件，并加盖供应商公章。原件备查。</w:t>
            </w:r>
          </w:p>
        </w:tc>
        <w:tc>
          <w:tcPr>
            <w:tcW w:w="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s="宋体"/>
                <w:color w:val="auto"/>
                <w:sz w:val="24"/>
                <w:szCs w:val="24"/>
              </w:rPr>
            </w:pPr>
            <w:r>
              <w:rPr>
                <w:rFonts w:hint="eastAsia" w:ascii="宋体" w:hAnsi="宋体" w:cs="宋体"/>
                <w:color w:val="auto"/>
                <w:sz w:val="24"/>
                <w:szCs w:val="24"/>
              </w:rPr>
              <w:t>6</w:t>
            </w:r>
          </w:p>
        </w:tc>
      </w:tr>
      <w:tr>
        <w:tblPrEx>
          <w:tblCellMar>
            <w:top w:w="0" w:type="dxa"/>
            <w:left w:w="108" w:type="dxa"/>
            <w:bottom w:w="0" w:type="dxa"/>
            <w:right w:w="108" w:type="dxa"/>
          </w:tblCellMar>
        </w:tblPrEx>
        <w:trPr>
          <w:trHeight w:val="929" w:hRule="atLeast"/>
        </w:trPr>
        <w:tc>
          <w:tcPr>
            <w:tcW w:w="510" w:type="dxa"/>
            <w:vMerge w:val="continue"/>
            <w:tcBorders>
              <w:left w:val="single" w:color="auto" w:sz="4" w:space="0"/>
              <w:bottom w:val="single" w:color="auto" w:sz="4" w:space="0"/>
              <w:right w:val="single" w:color="auto" w:sz="4" w:space="0"/>
            </w:tcBorders>
            <w:vAlign w:val="center"/>
          </w:tcPr>
          <w:p>
            <w:pPr>
              <w:widowControl/>
              <w:snapToGrid w:val="0"/>
              <w:spacing w:line="360" w:lineRule="exact"/>
              <w:jc w:val="center"/>
              <w:textAlignment w:val="baseline"/>
              <w:rPr>
                <w:rFonts w:ascii="宋体" w:hAnsi="宋体" w:cs="宋体"/>
                <w:sz w:val="24"/>
                <w:szCs w:val="24"/>
              </w:rPr>
            </w:pPr>
          </w:p>
        </w:tc>
        <w:tc>
          <w:tcPr>
            <w:tcW w:w="1239" w:type="dxa"/>
            <w:vMerge w:val="continue"/>
            <w:tcBorders>
              <w:left w:val="single" w:color="auto" w:sz="4" w:space="0"/>
              <w:bottom w:val="single" w:color="auto" w:sz="4" w:space="0"/>
              <w:right w:val="single" w:color="auto" w:sz="4" w:space="0"/>
            </w:tcBorders>
            <w:vAlign w:val="center"/>
          </w:tcPr>
          <w:p>
            <w:pPr>
              <w:widowControl/>
              <w:snapToGrid w:val="0"/>
              <w:jc w:val="center"/>
              <w:textAlignment w:val="baseline"/>
              <w:rPr>
                <w:rFonts w:ascii="宋体" w:hAnsi="宋体" w:cs="宋体"/>
                <w:bCs/>
                <w:sz w:val="24"/>
                <w:szCs w:val="24"/>
              </w:rPr>
            </w:pPr>
          </w:p>
        </w:tc>
        <w:tc>
          <w:tcPr>
            <w:tcW w:w="69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textAlignment w:val="baseline"/>
              <w:rPr>
                <w:rFonts w:ascii="宋体" w:hAnsi="宋体" w:cs="仿宋"/>
                <w:color w:val="auto"/>
                <w:sz w:val="24"/>
              </w:rPr>
            </w:pPr>
            <w:r>
              <w:rPr>
                <w:rFonts w:hint="eastAsia" w:ascii="宋体" w:hAnsi="宋体" w:cs="仿宋"/>
                <w:color w:val="auto"/>
                <w:sz w:val="24"/>
              </w:rPr>
              <w:t>产品技术要求：</w:t>
            </w:r>
          </w:p>
          <w:p>
            <w:pPr>
              <w:snapToGrid w:val="0"/>
              <w:spacing w:line="400" w:lineRule="exact"/>
              <w:textAlignment w:val="baseline"/>
              <w:rPr>
                <w:rFonts w:ascii="宋体" w:hAnsi="宋体" w:cs="仿宋"/>
                <w:color w:val="auto"/>
                <w:sz w:val="24"/>
              </w:rPr>
            </w:pPr>
            <w:r>
              <w:rPr>
                <w:rFonts w:hint="eastAsia" w:ascii="宋体" w:hAnsi="宋体" w:cs="仿宋"/>
                <w:color w:val="auto"/>
                <w:sz w:val="24"/>
              </w:rPr>
              <w:t>供应商所投智能枪弹柜产品的设备技术要求全部满足磋商文件项目需求中产品技术要求的，得满分 21 分；</w:t>
            </w:r>
          </w:p>
          <w:p>
            <w:pPr>
              <w:snapToGrid w:val="0"/>
              <w:spacing w:line="400" w:lineRule="exact"/>
              <w:textAlignment w:val="baseline"/>
              <w:rPr>
                <w:rFonts w:ascii="宋体" w:hAnsi="宋体" w:cs="仿宋"/>
                <w:color w:val="auto"/>
                <w:sz w:val="24"/>
              </w:rPr>
            </w:pPr>
            <w:r>
              <w:rPr>
                <w:rFonts w:hint="eastAsia" w:ascii="宋体" w:hAnsi="宋体" w:cs="仿宋"/>
                <w:color w:val="auto"/>
                <w:sz w:val="24"/>
              </w:rPr>
              <w:t xml:space="preserve">项目需求产品技术要求中加★号指标为重要参数指标，每有一项负偏离扣 3分；项目需求产品技术要求中非★号指标为一般参数，每有一项负偏离扣 1 分，扣完为止。                             </w:t>
            </w:r>
          </w:p>
          <w:p>
            <w:pPr>
              <w:widowControl/>
              <w:snapToGrid w:val="0"/>
              <w:jc w:val="left"/>
              <w:textAlignment w:val="baseline"/>
              <w:rPr>
                <w:rFonts w:ascii="宋体" w:hAnsi="宋体" w:cs="宋体"/>
                <w:b/>
                <w:bCs/>
                <w:color w:val="auto"/>
                <w:sz w:val="24"/>
                <w:szCs w:val="24"/>
              </w:rPr>
            </w:pPr>
            <w:r>
              <w:rPr>
                <w:rFonts w:hint="eastAsia" w:ascii="宋体" w:hAnsi="宋体" w:cs="仿宋"/>
                <w:b/>
                <w:bCs/>
                <w:color w:val="auto"/>
                <w:sz w:val="24"/>
              </w:rPr>
              <w:t>注：若发现有提供虚假的证明材料或虚假应答技术偏离表的，取消其中标资格。</w:t>
            </w:r>
          </w:p>
        </w:tc>
        <w:tc>
          <w:tcPr>
            <w:tcW w:w="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s="宋体"/>
                <w:color w:val="auto"/>
                <w:sz w:val="24"/>
                <w:szCs w:val="24"/>
              </w:rPr>
            </w:pPr>
            <w:r>
              <w:rPr>
                <w:rFonts w:hint="eastAsia" w:ascii="宋体" w:hAnsi="宋体" w:cs="宋体"/>
                <w:color w:val="auto"/>
                <w:sz w:val="24"/>
                <w:szCs w:val="24"/>
              </w:rPr>
              <w:t>21</w:t>
            </w:r>
          </w:p>
        </w:tc>
      </w:tr>
      <w:tr>
        <w:tblPrEx>
          <w:tblCellMar>
            <w:top w:w="0" w:type="dxa"/>
            <w:left w:w="108" w:type="dxa"/>
            <w:bottom w:w="0" w:type="dxa"/>
            <w:right w:w="108" w:type="dxa"/>
          </w:tblCellMar>
        </w:tblPrEx>
        <w:trPr>
          <w:trHeight w:val="1169" w:hRule="atLeast"/>
        </w:trPr>
        <w:tc>
          <w:tcPr>
            <w:tcW w:w="5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baseline"/>
              <w:rPr>
                <w:rFonts w:ascii="宋体" w:hAnsi="宋体" w:cs="宋体"/>
                <w:sz w:val="24"/>
                <w:szCs w:val="24"/>
              </w:rPr>
            </w:pPr>
            <w:r>
              <w:rPr>
                <w:rFonts w:hint="eastAsia" w:ascii="宋体" w:hAnsi="宋体" w:cs="宋体"/>
                <w:sz w:val="24"/>
                <w:szCs w:val="24"/>
              </w:rPr>
              <w:t>4</w:t>
            </w:r>
          </w:p>
        </w:tc>
        <w:tc>
          <w:tcPr>
            <w:tcW w:w="1239"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宋体" w:hAnsi="宋体" w:cs="宋体"/>
                <w:sz w:val="24"/>
                <w:szCs w:val="24"/>
              </w:rPr>
            </w:pPr>
            <w:r>
              <w:rPr>
                <w:rFonts w:hint="eastAsia" w:ascii="宋体" w:hAnsi="宋体" w:cs="宋体"/>
                <w:bCs/>
                <w:sz w:val="24"/>
                <w:szCs w:val="24"/>
              </w:rPr>
              <w:t>施工组织方案</w:t>
            </w:r>
          </w:p>
        </w:tc>
        <w:tc>
          <w:tcPr>
            <w:tcW w:w="6972" w:type="dxa"/>
            <w:tcBorders>
              <w:top w:val="single" w:color="auto" w:sz="4" w:space="0"/>
              <w:left w:val="nil"/>
              <w:bottom w:val="single" w:color="auto" w:sz="4" w:space="0"/>
              <w:right w:val="single" w:color="auto" w:sz="4" w:space="0"/>
            </w:tcBorders>
            <w:vAlign w:val="center"/>
          </w:tcPr>
          <w:p>
            <w:pPr>
              <w:spacing w:line="288" w:lineRule="auto"/>
              <w:rPr>
                <w:rFonts w:hint="eastAsia" w:ascii="宋体" w:hAnsi="宋体" w:eastAsia="宋体" w:cs="仿宋"/>
                <w:color w:val="auto"/>
                <w:sz w:val="24"/>
                <w:lang w:eastAsia="zh-CN"/>
              </w:rPr>
            </w:pPr>
            <w:r>
              <w:rPr>
                <w:rFonts w:hint="eastAsia" w:ascii="宋体" w:hAnsi="宋体" w:cs="仿宋"/>
                <w:color w:val="auto"/>
                <w:sz w:val="24"/>
              </w:rPr>
              <w:t>1、总体设计：业务架构、网络架构、安全等方面对项目合理设计，对可行性、先进性、合理性、可拓展性等方面综合评估</w:t>
            </w:r>
            <w:r>
              <w:rPr>
                <w:rFonts w:hint="eastAsia" w:ascii="宋体" w:hAnsi="宋体" w:cs="仿宋"/>
                <w:color w:val="auto"/>
                <w:sz w:val="24"/>
                <w:lang w:eastAsia="zh-CN"/>
              </w:rPr>
              <w:t>。</w:t>
            </w:r>
          </w:p>
          <w:p>
            <w:pPr>
              <w:spacing w:line="288" w:lineRule="auto"/>
              <w:rPr>
                <w:rFonts w:ascii="宋体" w:hAnsi="宋体" w:cs="仿宋"/>
                <w:color w:val="auto"/>
                <w:sz w:val="24"/>
              </w:rPr>
            </w:pPr>
            <w:r>
              <w:rPr>
                <w:rFonts w:hint="eastAsia" w:ascii="宋体" w:hAnsi="宋体" w:cs="仿宋"/>
                <w:color w:val="auto"/>
                <w:sz w:val="24"/>
              </w:rPr>
              <w:t>方案完整、科学合理且切实可行的，得5-6分；方案基本合理、可行的，3-4分；方案有疏漏、可行性差的，得1-2分；未提供的不得分。</w:t>
            </w:r>
          </w:p>
          <w:p>
            <w:pPr>
              <w:spacing w:line="288" w:lineRule="auto"/>
              <w:rPr>
                <w:rFonts w:ascii="宋体" w:hAnsi="宋体" w:cs="仿宋"/>
                <w:color w:val="auto"/>
                <w:sz w:val="24"/>
              </w:rPr>
            </w:pPr>
            <w:r>
              <w:rPr>
                <w:rFonts w:hint="eastAsia" w:ascii="宋体" w:hAnsi="宋体" w:cs="仿宋"/>
                <w:color w:val="auto"/>
                <w:sz w:val="24"/>
              </w:rPr>
              <w:t>2、根据投标人提供项目组织实施方案，方案具有科学性、合理性、规范性和可操作性，包括但不限于安装调试、试运行、测试、培训、验收等内容，以及组织机构、工作时间进度表等。</w:t>
            </w:r>
          </w:p>
          <w:p>
            <w:pPr>
              <w:spacing w:line="288" w:lineRule="auto"/>
              <w:rPr>
                <w:rFonts w:ascii="宋体" w:hAnsi="宋体" w:cs="宋体"/>
                <w:color w:val="auto"/>
                <w:szCs w:val="24"/>
              </w:rPr>
            </w:pPr>
            <w:r>
              <w:rPr>
                <w:rFonts w:hint="eastAsia" w:ascii="宋体" w:hAnsi="宋体" w:cs="仿宋"/>
                <w:color w:val="auto"/>
                <w:sz w:val="24"/>
              </w:rPr>
              <w:t>实施方案科学合理且切实可行，进度合理，方式得当，目标及效果明确的，得5-6分；实施方案基本完整、可行，得3-4分；实施方案有疏漏、可行性差，不具有可实施性，得1-2分；未提供的不得分。</w:t>
            </w:r>
          </w:p>
        </w:tc>
        <w:tc>
          <w:tcPr>
            <w:tcW w:w="895" w:type="dxa"/>
            <w:tcBorders>
              <w:top w:val="single" w:color="auto" w:sz="4" w:space="0"/>
              <w:left w:val="nil"/>
              <w:bottom w:val="single" w:color="auto" w:sz="4" w:space="0"/>
              <w:right w:val="single" w:color="auto" w:sz="4" w:space="0"/>
            </w:tcBorders>
            <w:vAlign w:val="center"/>
          </w:tcPr>
          <w:p>
            <w:pPr>
              <w:snapToGrid w:val="0"/>
              <w:spacing w:line="360" w:lineRule="exact"/>
              <w:jc w:val="center"/>
              <w:textAlignment w:val="baseline"/>
              <w:rPr>
                <w:rFonts w:ascii="宋体" w:hAnsi="宋体" w:cs="宋体"/>
                <w:color w:val="auto"/>
                <w:sz w:val="24"/>
                <w:szCs w:val="24"/>
              </w:rPr>
            </w:pPr>
            <w:r>
              <w:rPr>
                <w:rFonts w:hint="eastAsia" w:ascii="宋体" w:hAnsi="宋体" w:cs="宋体"/>
                <w:color w:val="auto"/>
                <w:sz w:val="24"/>
                <w:szCs w:val="24"/>
              </w:rPr>
              <w:t>12</w:t>
            </w:r>
          </w:p>
        </w:tc>
      </w:tr>
      <w:tr>
        <w:tblPrEx>
          <w:tblCellMar>
            <w:top w:w="0" w:type="dxa"/>
            <w:left w:w="108" w:type="dxa"/>
            <w:bottom w:w="0" w:type="dxa"/>
            <w:right w:w="108" w:type="dxa"/>
          </w:tblCellMar>
        </w:tblPrEx>
        <w:trPr>
          <w:trHeight w:val="90" w:hRule="atLeast"/>
        </w:trPr>
        <w:tc>
          <w:tcPr>
            <w:tcW w:w="5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baseline"/>
              <w:rPr>
                <w:rFonts w:ascii="宋体" w:hAnsi="宋体" w:cs="宋体"/>
                <w:sz w:val="24"/>
                <w:szCs w:val="24"/>
              </w:rPr>
            </w:pPr>
            <w:r>
              <w:rPr>
                <w:rFonts w:hint="eastAsia" w:ascii="宋体" w:hAnsi="宋体" w:cs="宋体"/>
                <w:sz w:val="24"/>
                <w:szCs w:val="24"/>
              </w:rPr>
              <w:t>5</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baseline"/>
              <w:rPr>
                <w:rFonts w:ascii="宋体" w:hAnsi="宋体" w:cs="宋体"/>
                <w:sz w:val="24"/>
                <w:szCs w:val="24"/>
              </w:rPr>
            </w:pPr>
            <w:r>
              <w:rPr>
                <w:rFonts w:hint="eastAsia" w:ascii="宋体" w:hAnsi="宋体" w:cs="宋体"/>
                <w:bCs/>
                <w:sz w:val="24"/>
                <w:szCs w:val="24"/>
              </w:rPr>
              <w:t>售后服务响应</w:t>
            </w:r>
          </w:p>
        </w:tc>
        <w:tc>
          <w:tcPr>
            <w:tcW w:w="697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textAlignment w:val="baseline"/>
              <w:rPr>
                <w:rFonts w:ascii="宋体" w:hAnsi="宋体" w:cs="仿宋"/>
                <w:color w:val="auto"/>
                <w:sz w:val="24"/>
                <w:highlight w:val="none"/>
              </w:rPr>
            </w:pPr>
            <w:r>
              <w:rPr>
                <w:rFonts w:hint="eastAsia" w:ascii="宋体" w:hAnsi="宋体" w:cs="仿宋"/>
                <w:color w:val="auto"/>
                <w:sz w:val="24"/>
                <w:highlight w:val="none"/>
              </w:rPr>
              <w:t>1、根据项目的实际需求和建设要求，对整体售后服务要求进行响应，编写方案。</w:t>
            </w:r>
          </w:p>
          <w:p>
            <w:pPr>
              <w:snapToGrid w:val="0"/>
              <w:spacing w:line="288" w:lineRule="auto"/>
              <w:textAlignment w:val="baseline"/>
              <w:rPr>
                <w:rFonts w:ascii="宋体" w:hAnsi="宋体" w:cs="仿宋"/>
                <w:color w:val="auto"/>
                <w:sz w:val="24"/>
                <w:highlight w:val="none"/>
              </w:rPr>
            </w:pPr>
            <w:r>
              <w:rPr>
                <w:rFonts w:hint="eastAsia" w:ascii="宋体" w:hAnsi="宋体" w:cs="仿宋"/>
                <w:color w:val="auto"/>
                <w:sz w:val="24"/>
                <w:highlight w:val="none"/>
              </w:rPr>
              <w:t>优得4-5分，良得2-3分，一般得1分，差不得分；未提供的不得分。</w:t>
            </w:r>
          </w:p>
          <w:p>
            <w:pPr>
              <w:snapToGrid w:val="0"/>
              <w:spacing w:line="288" w:lineRule="auto"/>
              <w:textAlignment w:val="baseline"/>
              <w:rPr>
                <w:rFonts w:ascii="宋体" w:hAnsi="宋体" w:cs="仿宋"/>
                <w:color w:val="auto"/>
                <w:sz w:val="24"/>
                <w:highlight w:val="none"/>
              </w:rPr>
            </w:pPr>
            <w:r>
              <w:rPr>
                <w:rFonts w:hint="eastAsia" w:ascii="宋体" w:hAnsi="宋体" w:cs="仿宋"/>
                <w:color w:val="auto"/>
                <w:sz w:val="24"/>
                <w:highlight w:val="none"/>
              </w:rPr>
              <w:t>2、根据项目编写培训方案。</w:t>
            </w:r>
          </w:p>
          <w:p>
            <w:pPr>
              <w:snapToGrid w:val="0"/>
              <w:spacing w:line="288" w:lineRule="auto"/>
              <w:textAlignment w:val="baseline"/>
              <w:rPr>
                <w:color w:val="auto"/>
                <w:sz w:val="24"/>
                <w:szCs w:val="24"/>
                <w:highlight w:val="none"/>
              </w:rPr>
            </w:pPr>
            <w:r>
              <w:rPr>
                <w:rFonts w:hint="eastAsia" w:ascii="宋体" w:hAnsi="宋体" w:cs="仿宋"/>
                <w:color w:val="auto"/>
                <w:sz w:val="24"/>
                <w:highlight w:val="none"/>
              </w:rPr>
              <w:t>优得3-4分，良得2-3分，一般得1分；未提供的不得分。</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9</w:t>
            </w:r>
          </w:p>
        </w:tc>
      </w:tr>
    </w:tbl>
    <w:p>
      <w:pPr>
        <w:snapToGrid w:val="0"/>
        <w:spacing w:line="360" w:lineRule="auto"/>
        <w:ind w:firstLine="240" w:firstLineChars="100"/>
        <w:textAlignment w:val="baseline"/>
        <w:rPr>
          <w:rFonts w:ascii="宋体" w:hAnsi="宋体" w:cs="宋体"/>
          <w:b/>
          <w:bCs/>
          <w:sz w:val="24"/>
          <w:szCs w:val="24"/>
        </w:rPr>
      </w:pPr>
      <w:r>
        <w:rPr>
          <w:rFonts w:hint="eastAsia" w:ascii="宋体" w:hAnsi="宋体" w:cs="宋体"/>
          <w:b/>
          <w:bCs/>
          <w:sz w:val="24"/>
          <w:szCs w:val="24"/>
        </w:rPr>
        <w:t>（二）商务报价响应评分：（30分）</w:t>
      </w:r>
    </w:p>
    <w:p>
      <w:pPr>
        <w:snapToGrid w:val="0"/>
        <w:spacing w:line="360" w:lineRule="auto"/>
        <w:ind w:firstLine="480" w:firstLineChars="200"/>
        <w:textAlignment w:val="baseline"/>
        <w:rPr>
          <w:rFonts w:ascii="宋体" w:hAnsi="宋体" w:cs="宋体"/>
          <w:b/>
          <w:sz w:val="24"/>
          <w:szCs w:val="24"/>
        </w:rPr>
      </w:pPr>
      <w:r>
        <w:rPr>
          <w:rFonts w:hint="eastAsia" w:ascii="宋体" w:hAnsi="宋体" w:cs="宋体"/>
          <w:b/>
          <w:sz w:val="24"/>
          <w:szCs w:val="24"/>
        </w:rPr>
        <w:t>1、本次项目最高限价为人民币万元，报价不得超过限价，否则做无效投标处理。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b/>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0" w:firstLineChars="200"/>
        <w:textAlignment w:val="baseline"/>
        <w:rPr>
          <w:rFonts w:ascii="宋体" w:hAnsi="宋体" w:cs="宋体"/>
          <w:b/>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=（磋商基准价/最后磋商报价）×30%×100</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3、针对相同品牌产品报价的评审</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本项目中核心产品（智能枪弹柜、智能装备主柜）均为相同品牌的不同供应商参加本次磋商的，以其中通过资格审查、技术标的参加评审；报价相同的，由各供应商按签到顺序先抽取抽签顺序号，再按抽签顺序号抽取的方式确定确定一个参加评审的供应商。</w:t>
      </w:r>
    </w:p>
    <w:p>
      <w:pPr>
        <w:snapToGrid w:val="0"/>
        <w:spacing w:line="360" w:lineRule="auto"/>
        <w:ind w:firstLine="484" w:firstLineChars="202"/>
        <w:textAlignment w:val="baseline"/>
        <w:rPr>
          <w:rFonts w:ascii="宋体" w:hAnsi="宋体" w:cs="宋体"/>
          <w:b/>
          <w:bCs/>
          <w:color w:val="FF0000"/>
          <w:sz w:val="24"/>
          <w:szCs w:val="24"/>
        </w:rPr>
      </w:pPr>
      <w:bookmarkStart w:id="56" w:name="_Hlk67169510"/>
      <w:r>
        <w:rPr>
          <w:rFonts w:hint="eastAsia" w:ascii="宋体" w:hAnsi="宋体" w:cs="宋体"/>
          <w:b/>
          <w:bCs/>
          <w:color w:val="FF0000"/>
          <w:sz w:val="24"/>
          <w:szCs w:val="24"/>
        </w:rPr>
        <w:t>4、关于落实政府采购政策的中小微企业价格评审</w:t>
      </w:r>
      <w:bookmarkEnd w:id="56"/>
    </w:p>
    <w:p>
      <w:pPr>
        <w:snapToGrid w:val="0"/>
        <w:spacing w:line="360" w:lineRule="auto"/>
        <w:ind w:firstLine="484" w:firstLineChars="202"/>
        <w:textAlignment w:val="baseline"/>
        <w:rPr>
          <w:rFonts w:ascii="宋体" w:hAnsi="宋体" w:cs="宋体"/>
          <w:color w:val="FF0000"/>
          <w:sz w:val="24"/>
          <w:szCs w:val="24"/>
        </w:rPr>
      </w:pPr>
      <w:bookmarkStart w:id="57" w:name="_Hlk67609383"/>
      <w:r>
        <w:rPr>
          <w:rFonts w:hint="eastAsia" w:ascii="宋体" w:hAnsi="宋体" w:cs="宋体"/>
          <w:color w:val="FF0000"/>
          <w:sz w:val="24"/>
          <w:szCs w:val="24"/>
        </w:rPr>
        <w:t>（1）根据《政府采购促进中小企业发展管理办法》（财库﹝2020﹞46 号）的第四条，</w:t>
      </w:r>
      <w:r>
        <w:rPr>
          <w:rFonts w:hint="eastAsia" w:ascii="宋体" w:hAnsi="宋体" w:cs="宋体"/>
          <w:b/>
          <w:bCs/>
          <w:color w:val="FF0000"/>
          <w:sz w:val="24"/>
          <w:szCs w:val="24"/>
        </w:rPr>
        <w:t>本次采购的项目，其响应供应商提供的</w:t>
      </w:r>
      <w:r>
        <w:rPr>
          <w:rFonts w:hint="eastAsia" w:ascii="宋体" w:hAnsi="宋体" w:cs="宋体"/>
          <w:b/>
          <w:bCs/>
          <w:color w:val="FF0000"/>
          <w:sz w:val="24"/>
          <w:szCs w:val="24"/>
          <w:u w:val="thick" w:color="FF0000"/>
        </w:rPr>
        <w:t xml:space="preserve">全部货物产品的制造商 </w:t>
      </w:r>
      <w:r>
        <w:rPr>
          <w:rFonts w:hint="eastAsia" w:ascii="宋体" w:hAnsi="宋体" w:cs="宋体"/>
          <w:b/>
          <w:bCs/>
          <w:color w:val="FF0000"/>
          <w:sz w:val="24"/>
          <w:szCs w:val="24"/>
        </w:rPr>
        <w:t>符合：工信部联企业〔2011〕300号《关于印发中小企业划型标准规定的通知》中的</w:t>
      </w:r>
      <w:bookmarkStart w:id="58" w:name="_Hlk62787617"/>
      <w:r>
        <w:rPr>
          <w:rFonts w:hint="eastAsia" w:ascii="宋体" w:hAnsi="宋体" w:cs="宋体"/>
          <w:b/>
          <w:bCs/>
          <w:color w:val="FF0000"/>
          <w:sz w:val="24"/>
          <w:szCs w:val="24"/>
        </w:rPr>
        <w:t>中小企业</w:t>
      </w:r>
      <w:bookmarkStart w:id="59" w:name="_Hlk67153790"/>
      <w:r>
        <w:rPr>
          <w:rFonts w:hint="eastAsia" w:ascii="宋体" w:hAnsi="宋体" w:cs="宋体"/>
          <w:b/>
          <w:bCs/>
          <w:color w:val="FF0000"/>
          <w:sz w:val="24"/>
          <w:szCs w:val="24"/>
        </w:rPr>
        <w:t>“</w:t>
      </w:r>
      <w:r>
        <w:rPr>
          <w:rFonts w:hint="eastAsia" w:ascii="宋体" w:hAnsi="宋体" w:cs="宋体"/>
          <w:b/>
          <w:bCs/>
          <w:color w:val="FF0000"/>
          <w:sz w:val="24"/>
          <w:szCs w:val="24"/>
          <w:u w:val="thick" w:color="FF0000"/>
        </w:rPr>
        <w:t>工业</w:t>
      </w:r>
      <w:r>
        <w:rPr>
          <w:rFonts w:hint="eastAsia" w:ascii="宋体" w:hAnsi="宋体" w:cs="宋体"/>
          <w:b/>
          <w:bCs/>
          <w:color w:val="FF0000"/>
          <w:sz w:val="24"/>
          <w:szCs w:val="24"/>
        </w:rPr>
        <w:t>”类</w:t>
      </w:r>
      <w:bookmarkEnd w:id="59"/>
      <w:r>
        <w:rPr>
          <w:rFonts w:hint="eastAsia" w:ascii="宋体" w:hAnsi="宋体" w:cs="宋体"/>
          <w:b/>
          <w:bCs/>
          <w:color w:val="FF0000"/>
          <w:sz w:val="24"/>
          <w:szCs w:val="24"/>
        </w:rPr>
        <w:t>的划型标准规定</w:t>
      </w:r>
      <w:bookmarkEnd w:id="58"/>
      <w:r>
        <w:rPr>
          <w:rFonts w:hint="eastAsia" w:ascii="宋体" w:hAnsi="宋体" w:cs="宋体"/>
          <w:b/>
          <w:bCs/>
          <w:color w:val="FF0000"/>
          <w:sz w:val="24"/>
          <w:szCs w:val="24"/>
        </w:rPr>
        <w:t>的，将享受中小企业扶持政策。</w:t>
      </w:r>
    </w:p>
    <w:p>
      <w:pPr>
        <w:snapToGrid w:val="0"/>
        <w:spacing w:line="360" w:lineRule="auto"/>
        <w:ind w:firstLine="484" w:firstLineChars="202"/>
        <w:textAlignment w:val="baseline"/>
        <w:rPr>
          <w:rFonts w:ascii="宋体" w:hAnsi="宋体" w:cs="宋体"/>
          <w:color w:val="FF0000"/>
          <w:sz w:val="24"/>
          <w:szCs w:val="24"/>
        </w:rPr>
      </w:pPr>
      <w:r>
        <w:rPr>
          <w:rFonts w:hint="eastAsia" w:ascii="宋体" w:hAnsi="宋体" w:cs="宋体"/>
          <w:b/>
          <w:bCs/>
          <w:color w:val="FF0000"/>
          <w:sz w:val="24"/>
          <w:szCs w:val="24"/>
        </w:rPr>
        <w:t>“</w:t>
      </w:r>
      <w:r>
        <w:rPr>
          <w:rFonts w:hint="eastAsia" w:ascii="宋体" w:hAnsi="宋体" w:cs="宋体"/>
          <w:b/>
          <w:bCs/>
          <w:color w:val="FF0000"/>
          <w:sz w:val="24"/>
          <w:szCs w:val="24"/>
          <w:u w:val="thick" w:color="FF0000"/>
        </w:rPr>
        <w:t>工业</w:t>
      </w:r>
      <w:r>
        <w:rPr>
          <w:rFonts w:hint="eastAsia" w:ascii="宋体" w:hAnsi="宋体" w:cs="宋体"/>
          <w:b/>
          <w:bCs/>
          <w:color w:val="FF0000"/>
          <w:sz w:val="24"/>
          <w:szCs w:val="24"/>
        </w:rPr>
        <w:t>”类中小企业划型标准</w:t>
      </w:r>
      <w:r>
        <w:rPr>
          <w:rFonts w:hint="eastAsia" w:ascii="宋体" w:hAnsi="宋体" w:cs="宋体"/>
          <w:color w:val="FF0000"/>
          <w:sz w:val="24"/>
          <w:szCs w:val="24"/>
        </w:rPr>
        <w:t>：从业人员1000人以下或营业收入40000万元以下的为中小微型企业。其中，从业人员300人及以上，且营业收入2000万元及以上的为中型企业；</w:t>
      </w:r>
      <w:r>
        <w:rPr>
          <w:rFonts w:hint="eastAsia" w:ascii="宋体" w:hAnsi="宋体" w:cs="宋体"/>
          <w:color w:val="FF0000"/>
          <w:sz w:val="24"/>
          <w:szCs w:val="24"/>
          <w:u w:val="single" w:color="FF0000"/>
        </w:rPr>
        <w:t>从业人员20人及 以上，且营业收入300万元及以上的为小型企业；从业人员20人以下或营业收入300万元以下的为微型企业</w:t>
      </w:r>
      <w:r>
        <w:rPr>
          <w:rFonts w:hint="eastAsia" w:ascii="宋体" w:hAnsi="宋体" w:cs="宋体"/>
          <w:color w:val="FF0000"/>
          <w:sz w:val="24"/>
          <w:szCs w:val="24"/>
        </w:rPr>
        <w:t>。</w:t>
      </w:r>
    </w:p>
    <w:p>
      <w:pPr>
        <w:snapToGrid w:val="0"/>
        <w:spacing w:line="360" w:lineRule="auto"/>
        <w:ind w:firstLine="484" w:firstLineChars="202"/>
        <w:textAlignment w:val="baseline"/>
        <w:rPr>
          <w:rFonts w:ascii="宋体" w:hAnsi="宋体" w:cs="宋体"/>
          <w:color w:val="FF0000"/>
          <w:sz w:val="24"/>
          <w:szCs w:val="24"/>
        </w:rPr>
      </w:pPr>
      <w:r>
        <w:rPr>
          <w:rFonts w:hint="eastAsia" w:ascii="宋体" w:hAnsi="宋体" w:cs="宋体"/>
          <w:color w:val="FF0000"/>
          <w:sz w:val="24"/>
          <w:szCs w:val="24"/>
        </w:rPr>
        <w:t>（2）</w:t>
      </w:r>
      <w:bookmarkStart w:id="60" w:name="_Hlk67155978"/>
      <w:r>
        <w:rPr>
          <w:rFonts w:hint="eastAsia" w:ascii="宋体" w:hAnsi="宋体" w:cs="宋体"/>
          <w:color w:val="FF0000"/>
          <w:sz w:val="24"/>
          <w:szCs w:val="24"/>
        </w:rPr>
        <w:t>根据</w:t>
      </w:r>
      <w:bookmarkStart w:id="61" w:name="_Hlk67155505"/>
      <w:r>
        <w:rPr>
          <w:rFonts w:hint="eastAsia" w:ascii="宋体" w:hAnsi="宋体" w:cs="宋体"/>
          <w:color w:val="FF0000"/>
          <w:sz w:val="24"/>
          <w:szCs w:val="24"/>
        </w:rPr>
        <w:t>《政府采购促进中小企业发展管理办法》（财库﹝2020﹞46 号）</w:t>
      </w:r>
      <w:bookmarkEnd w:id="61"/>
      <w:r>
        <w:rPr>
          <w:rFonts w:hint="eastAsia" w:ascii="宋体" w:hAnsi="宋体" w:cs="宋体"/>
          <w:color w:val="FF0000"/>
          <w:sz w:val="24"/>
          <w:szCs w:val="24"/>
        </w:rPr>
        <w:t>的第九条规定</w:t>
      </w:r>
      <w:bookmarkEnd w:id="60"/>
      <w:r>
        <w:rPr>
          <w:rFonts w:hint="eastAsia" w:ascii="宋体" w:hAnsi="宋体" w:cs="宋体"/>
          <w:color w:val="FF0000"/>
          <w:sz w:val="24"/>
          <w:szCs w:val="24"/>
        </w:rPr>
        <w:t>，</w:t>
      </w:r>
      <w:bookmarkStart w:id="62" w:name="_Hlk67154819"/>
      <w:r>
        <w:rPr>
          <w:rFonts w:hint="eastAsia" w:ascii="宋体" w:hAnsi="宋体" w:cs="宋体"/>
          <w:b/>
          <w:bCs/>
          <w:color w:val="FF0000"/>
          <w:sz w:val="24"/>
          <w:szCs w:val="24"/>
          <w:u w:val="thick" w:color="FF0000"/>
        </w:rPr>
        <w:t>磋商供应商提供磋商响应的全部货物是由</w:t>
      </w:r>
      <w:bookmarkStart w:id="63" w:name="_Hlk62900373"/>
      <w:r>
        <w:rPr>
          <w:rFonts w:hint="eastAsia" w:ascii="宋体" w:hAnsi="宋体" w:cs="宋体"/>
          <w:b/>
          <w:bCs/>
          <w:color w:val="FF0000"/>
          <w:sz w:val="24"/>
          <w:szCs w:val="24"/>
          <w:u w:val="thick" w:color="FF0000"/>
        </w:rPr>
        <w:t>小型、微型企业</w:t>
      </w:r>
      <w:bookmarkEnd w:id="63"/>
      <w:r>
        <w:rPr>
          <w:rFonts w:hint="eastAsia" w:ascii="宋体" w:hAnsi="宋体" w:cs="宋体"/>
          <w:b/>
          <w:bCs/>
          <w:color w:val="FF0000"/>
          <w:sz w:val="24"/>
          <w:szCs w:val="24"/>
          <w:u w:val="thick" w:color="FF0000"/>
        </w:rPr>
        <w:t>制造商生产且使用该中小企业商号或者注册商标的</w:t>
      </w:r>
      <w:bookmarkEnd w:id="62"/>
      <w:r>
        <w:rPr>
          <w:rFonts w:hint="eastAsia" w:ascii="宋体" w:hAnsi="宋体" w:cs="宋体"/>
          <w:color w:val="FF0000"/>
          <w:sz w:val="24"/>
          <w:szCs w:val="24"/>
        </w:rPr>
        <w:t>，该磋商供应商的报价将给予评审价格调整，具体方法如下：</w:t>
      </w:r>
    </w:p>
    <w:p>
      <w:pPr>
        <w:snapToGrid w:val="0"/>
        <w:spacing w:line="360" w:lineRule="auto"/>
        <w:ind w:firstLine="480" w:firstLineChars="200"/>
        <w:textAlignment w:val="baseline"/>
        <w:rPr>
          <w:rFonts w:ascii="宋体" w:hAnsi="宋体" w:cs="宋体"/>
          <w:color w:val="FF0000"/>
          <w:sz w:val="24"/>
          <w:szCs w:val="24"/>
        </w:rPr>
      </w:pPr>
      <w:r>
        <w:rPr>
          <w:rFonts w:hint="eastAsia" w:ascii="宋体" w:hAnsi="宋体" w:cs="宋体"/>
          <w:color w:val="FF0000"/>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textAlignment w:val="baseline"/>
        <w:rPr>
          <w:rFonts w:ascii="宋体" w:hAnsi="宋体" w:cs="宋体"/>
          <w:color w:val="FF0000"/>
          <w:sz w:val="24"/>
          <w:szCs w:val="24"/>
        </w:rPr>
      </w:pPr>
      <w:r>
        <w:rPr>
          <w:rFonts w:hint="eastAsia" w:ascii="宋体" w:hAnsi="宋体" w:cs="宋体"/>
          <w:color w:val="FF0000"/>
          <w:sz w:val="24"/>
          <w:szCs w:val="24"/>
        </w:rPr>
        <w:t xml:space="preserve">② </w:t>
      </w:r>
      <w:bookmarkStart w:id="64" w:name="_Hlk62901453"/>
      <w:r>
        <w:rPr>
          <w:rFonts w:hint="eastAsia" w:ascii="宋体" w:hAnsi="宋体" w:cs="宋体"/>
          <w:color w:val="FF0000"/>
          <w:sz w:val="24"/>
          <w:szCs w:val="24"/>
        </w:rPr>
        <w:t>参加本次政府采购活动，符合要求的磋商供应商须严格按《政府采购促进中小企业发展管理办法》（财库﹝2020﹞46 号）的文件要求，出具填报“</w:t>
      </w:r>
      <w:bookmarkStart w:id="65" w:name="_Hlk67171734"/>
      <w:r>
        <w:rPr>
          <w:rFonts w:hint="eastAsia" w:ascii="宋体" w:hAnsi="宋体" w:cs="宋体"/>
          <w:color w:val="FF0000"/>
          <w:sz w:val="24"/>
          <w:szCs w:val="24"/>
        </w:rPr>
        <w:t>中小企业声明函</w:t>
      </w:r>
      <w:bookmarkEnd w:id="65"/>
      <w:r>
        <w:rPr>
          <w:rFonts w:hint="eastAsia" w:ascii="宋体" w:hAnsi="宋体" w:cs="宋体"/>
          <w:color w:val="FF0000"/>
          <w:sz w:val="24"/>
          <w:szCs w:val="24"/>
        </w:rPr>
        <w:t>”</w:t>
      </w:r>
      <w:r>
        <w:rPr>
          <w:rFonts w:hint="eastAsia" w:ascii="宋体" w:hAnsi="宋体" w:cs="宋体"/>
          <w:b/>
          <w:bCs/>
          <w:color w:val="FF0000"/>
          <w:sz w:val="24"/>
          <w:szCs w:val="24"/>
        </w:rPr>
        <w:t>（格式见第八章）</w:t>
      </w:r>
      <w:r>
        <w:rPr>
          <w:rFonts w:hint="eastAsia" w:ascii="宋体" w:hAnsi="宋体" w:cs="宋体"/>
          <w:color w:val="FF0000"/>
          <w:sz w:val="24"/>
          <w:szCs w:val="24"/>
        </w:rPr>
        <w:t>；</w:t>
      </w:r>
      <w:bookmarkEnd w:id="64"/>
    </w:p>
    <w:p>
      <w:pPr>
        <w:snapToGrid w:val="0"/>
        <w:spacing w:line="360" w:lineRule="auto"/>
        <w:ind w:firstLine="560"/>
        <w:textAlignment w:val="baseline"/>
        <w:rPr>
          <w:rFonts w:ascii="宋体" w:hAnsi="宋体" w:cs="宋体"/>
          <w:color w:val="FF0000"/>
          <w:sz w:val="24"/>
          <w:szCs w:val="24"/>
        </w:rPr>
      </w:pPr>
      <w:r>
        <w:rPr>
          <w:rFonts w:hint="eastAsia" w:ascii="宋体" w:hAnsi="宋体" w:cs="宋体"/>
          <w:color w:val="FF0000"/>
          <w:sz w:val="24"/>
          <w:szCs w:val="24"/>
        </w:rPr>
        <w:t>③ 本项目享受中小企业扶持政策的磋商供应商一旦成交，因提供“中小企业声明函”的行为引发争议和影响本项目采购执行效率，应当按本项目采购人或采购代理机构的通知，在2个工作日内提供本项目</w:t>
      </w:r>
      <w:r>
        <w:rPr>
          <w:rFonts w:hint="eastAsia" w:ascii="宋体" w:hAnsi="宋体" w:cs="宋体"/>
          <w:color w:val="FF0000"/>
          <w:sz w:val="24"/>
          <w:szCs w:val="24"/>
          <w:u w:val="single" w:color="FF0000"/>
        </w:rPr>
        <w:t>全部货物产品</w:t>
      </w:r>
      <w:r>
        <w:rPr>
          <w:rFonts w:hint="eastAsia" w:ascii="宋体" w:hAnsi="宋体" w:cs="宋体"/>
          <w:color w:val="FF0000"/>
          <w:sz w:val="24"/>
          <w:szCs w:val="24"/>
        </w:rPr>
        <w:t>各个制造商出具的该企业注册登记所在地的县级以上人民政府中小企业主管部门认定是小型、微型企业的证明原件，用以核对，逾期未提供的则视作提供的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textAlignment w:val="baseline"/>
        <w:rPr>
          <w:rFonts w:ascii="宋体" w:hAnsi="宋体" w:cs="宋体"/>
          <w:color w:val="FF0000"/>
          <w:sz w:val="24"/>
          <w:szCs w:val="24"/>
        </w:rPr>
      </w:pPr>
      <w:r>
        <w:rPr>
          <w:rFonts w:hint="eastAsia" w:ascii="宋体" w:hAnsi="宋体" w:cs="宋体"/>
          <w:color w:val="FF0000"/>
          <w:sz w:val="24"/>
          <w:szCs w:val="24"/>
        </w:rPr>
        <w:t>④ 若磋商供应商</w:t>
      </w:r>
      <w:bookmarkStart w:id="66" w:name="_Hlk67172184"/>
      <w:r>
        <w:rPr>
          <w:rFonts w:hint="eastAsia" w:ascii="宋体" w:hAnsi="宋体" w:cs="宋体"/>
          <w:color w:val="FF0000"/>
          <w:sz w:val="24"/>
          <w:szCs w:val="24"/>
        </w:rPr>
        <w:t>提供的 “中小企业声明函”内容不实</w:t>
      </w:r>
      <w:bookmarkEnd w:id="66"/>
      <w:r>
        <w:rPr>
          <w:rFonts w:hint="eastAsia" w:ascii="宋体" w:hAnsi="宋体" w:cs="宋体"/>
          <w:color w:val="FF0000"/>
          <w:sz w:val="24"/>
          <w:szCs w:val="24"/>
        </w:rPr>
        <w:t>的，属于提供虚假材料谋取成交；磋商供应商的该行为将报请政府采购监管的财政部门参照《中华人民共和国政府采购法》第七十七条的规定处理并给予行政处罚。</w:t>
      </w:r>
    </w:p>
    <w:p>
      <w:pPr>
        <w:pStyle w:val="2"/>
        <w:snapToGrid w:val="0"/>
        <w:spacing w:after="0" w:line="360" w:lineRule="auto"/>
        <w:ind w:firstLine="480"/>
        <w:textAlignment w:val="baseline"/>
        <w:rPr>
          <w:rFonts w:ascii="宋体" w:hAnsi="宋体" w:cs="宋体"/>
          <w:color w:val="FF0000"/>
          <w:szCs w:val="24"/>
        </w:rPr>
      </w:pPr>
      <w:r>
        <w:rPr>
          <w:rFonts w:hint="eastAsia" w:ascii="宋体" w:hAnsi="宋体" w:cs="宋体"/>
          <w:color w:val="FF0000"/>
          <w:szCs w:val="24"/>
        </w:rPr>
        <w:t>（3）</w:t>
      </w:r>
      <w:bookmarkStart w:id="67" w:name="_Hlk67486961"/>
      <w:r>
        <w:rPr>
          <w:rFonts w:hint="eastAsia" w:ascii="宋体" w:hAnsi="宋体" w:cs="宋体"/>
          <w:color w:val="FF0000"/>
          <w:szCs w:val="24"/>
        </w:rPr>
        <w:t>在本次货物采购项目中，磋商供应商提供的货物既有中小企业制造货物，也有大型企业制造货物的，将不享受《政府采购促进中小企业发展管理办法》（财库﹝2020﹞46 号）规定的中小企业扶持政策。</w:t>
      </w:r>
    </w:p>
    <w:p>
      <w:pPr>
        <w:pStyle w:val="2"/>
        <w:snapToGrid w:val="0"/>
        <w:spacing w:after="0" w:line="360" w:lineRule="auto"/>
        <w:ind w:firstLine="480"/>
        <w:textAlignment w:val="baseline"/>
        <w:rPr>
          <w:sz w:val="21"/>
        </w:rPr>
      </w:pPr>
      <w:r>
        <w:rPr>
          <w:rFonts w:hint="eastAsia" w:ascii="宋体" w:hAnsi="宋体" w:cs="宋体"/>
          <w:color w:val="FF0000"/>
          <w:szCs w:val="24"/>
        </w:rPr>
        <w:t>（4）</w:t>
      </w:r>
      <w:r>
        <w:rPr>
          <w:rFonts w:hint="eastAsia" w:ascii="宋体" w:hAnsi="宋体" w:cs="宋体"/>
          <w:b/>
          <w:bCs/>
          <w:color w:val="FF0000"/>
          <w:szCs w:val="24"/>
          <w:u w:val="thick" w:color="FF0000"/>
        </w:rPr>
        <w:t>不符合上述要求的磋商供应商，无须提供“中小企业声明函”</w:t>
      </w:r>
      <w:r>
        <w:rPr>
          <w:rFonts w:hint="eastAsia" w:ascii="宋体" w:hAnsi="宋体" w:cs="宋体"/>
          <w:color w:val="FF0000"/>
          <w:szCs w:val="24"/>
        </w:rPr>
        <w:t>。</w:t>
      </w:r>
      <w:bookmarkEnd w:id="57"/>
      <w:bookmarkEnd w:id="67"/>
    </w:p>
    <w:p>
      <w:pPr>
        <w:snapToGrid w:val="0"/>
        <w:spacing w:line="360" w:lineRule="auto"/>
        <w:ind w:firstLine="480" w:firstLineChars="200"/>
        <w:textAlignment w:val="baseline"/>
        <w:rPr>
          <w:rFonts w:ascii="宋体" w:hAnsi="宋体" w:cs="宋体"/>
          <w:b/>
          <w:sz w:val="24"/>
          <w:szCs w:val="24"/>
        </w:rPr>
      </w:pPr>
      <w:r>
        <w:rPr>
          <w:rFonts w:hint="eastAsia" w:ascii="宋体" w:hAnsi="宋体" w:cs="宋体"/>
          <w:b/>
          <w:sz w:val="24"/>
          <w:szCs w:val="24"/>
        </w:rPr>
        <w:t>六、出现下列情形之一的，作无效响应处理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1、响应文件未按磋商文件要求装订、密封、签署、盖章及主要资料不齐全的；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2、响应文件的资料有虚报或者谎报的；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3、响应文件中资格审查文件及技术响应文件出现磋商报价的内容；</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4、不具备磋商文件规定的资格要求的；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5、响应文件有重大漏项或重大不合理的；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6、项目技术、方案不满足项目需求中的要求，有重大偏离或保留的；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7、磋商响应报价超出项目预算的；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8、被认定为低于成本报价磋商竞标的；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9、供应商的磋商报价高于自己前一轮的；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10、不符合法律、法规和磋商文件中规定的其他实质性响应要求的；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11、磋商小组依据法律法规可以认定为无效投标的其他情况。</w:t>
      </w:r>
    </w:p>
    <w:p>
      <w:pPr>
        <w:snapToGrid w:val="0"/>
        <w:spacing w:line="360" w:lineRule="auto"/>
        <w:ind w:firstLine="480" w:firstLineChars="200"/>
        <w:textAlignment w:val="baseline"/>
        <w:rPr>
          <w:rFonts w:ascii="宋体" w:hAnsi="宋体" w:cs="宋体"/>
          <w:b/>
          <w:color w:val="000000"/>
          <w:sz w:val="24"/>
          <w:szCs w:val="24"/>
        </w:rPr>
      </w:pPr>
      <w:r>
        <w:rPr>
          <w:rFonts w:hint="eastAsia" w:ascii="宋体" w:hAnsi="宋体" w:cs="宋体"/>
          <w:b/>
          <w:color w:val="000000"/>
          <w:sz w:val="24"/>
          <w:szCs w:val="24"/>
        </w:rPr>
        <w:t>七、出现下列情形之一的，作废标处理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1、供应商的报价均超出了采购预算，采购人不能支付的；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2、因情况变化，不再符合规定的竞争性磋商采购方式所适用情形的；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3、出现影响采购公正的违法、违规行为的；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4、因重大变故，采购任务取消的；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5、符合资格条件或者对磋商文件作实质响应的投标供应商不足</w:t>
      </w:r>
      <w:r>
        <w:rPr>
          <w:rFonts w:ascii="宋体" w:hAnsi="宋体" w:cs="宋体"/>
          <w:sz w:val="24"/>
          <w:szCs w:val="24"/>
        </w:rPr>
        <w:t>3</w:t>
      </w:r>
      <w:r>
        <w:rPr>
          <w:rFonts w:hint="eastAsia" w:ascii="宋体" w:hAnsi="宋体" w:cs="宋体"/>
          <w:sz w:val="24"/>
          <w:szCs w:val="24"/>
        </w:rPr>
        <w:t>家的；</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6、磋商小组依据法律法规可以认定为废标的其他情况。</w:t>
      </w:r>
    </w:p>
    <w:p>
      <w:pPr>
        <w:snapToGrid w:val="0"/>
        <w:spacing w:line="360" w:lineRule="auto"/>
        <w:ind w:firstLine="480" w:firstLineChars="200"/>
        <w:textAlignment w:val="baseline"/>
        <w:rPr>
          <w:rFonts w:ascii="宋体" w:hAnsi="宋体" w:cs="宋体"/>
          <w:b/>
          <w:color w:val="000000"/>
          <w:sz w:val="24"/>
          <w:szCs w:val="24"/>
        </w:rPr>
      </w:pPr>
      <w:r>
        <w:rPr>
          <w:rFonts w:hint="eastAsia" w:ascii="宋体" w:hAnsi="宋体" w:cs="宋体"/>
          <w:b/>
          <w:color w:val="000000"/>
          <w:sz w:val="24"/>
          <w:szCs w:val="24"/>
        </w:rPr>
        <w:t>八、成交通知</w:t>
      </w:r>
    </w:p>
    <w:p>
      <w:pPr>
        <w:snapToGrid w:val="0"/>
        <w:spacing w:line="360" w:lineRule="auto"/>
        <w:ind w:firstLine="480" w:firstLineChars="200"/>
        <w:textAlignment w:val="baseline"/>
        <w:rPr>
          <w:rFonts w:hint="eastAsia" w:eastAsia="宋体"/>
          <w:kern w:val="0"/>
          <w:sz w:val="24"/>
          <w:szCs w:val="24"/>
          <w:lang w:eastAsia="zh-CN"/>
        </w:rPr>
      </w:pPr>
      <w:r>
        <w:rPr>
          <w:rFonts w:hint="eastAsia"/>
          <w:kern w:val="0"/>
          <w:sz w:val="24"/>
          <w:szCs w:val="24"/>
        </w:rPr>
        <w:t>成交结果公告在“</w:t>
      </w:r>
      <w:r>
        <w:rPr>
          <w:rFonts w:hint="eastAsia" w:ascii="宋体" w:hAnsi="宋体" w:cs="宋体"/>
          <w:sz w:val="24"/>
          <w:szCs w:val="24"/>
        </w:rPr>
        <w:t>南通市公安局（http://gaj.nantong.gov.cn/）→法定主动公开内容→政府采购”栏</w:t>
      </w:r>
      <w:r>
        <w:rPr>
          <w:rFonts w:hint="eastAsia"/>
          <w:kern w:val="0"/>
          <w:sz w:val="24"/>
          <w:szCs w:val="24"/>
        </w:rPr>
        <w:t>公示 1个工作日。《成交通知书》一经发出，采购人改变成交结果，或者成交供应商放弃成交的，各自承担相应的法律责任。《成交通知书》是采购合同的组成部分。</w:t>
      </w:r>
      <w:bookmarkEnd w:id="47"/>
      <w:bookmarkEnd w:id="48"/>
      <w:bookmarkEnd w:id="49"/>
      <w:bookmarkEnd w:id="50"/>
      <w:bookmarkEnd w:id="51"/>
      <w:bookmarkEnd w:id="52"/>
      <w:bookmarkEnd w:id="53"/>
      <w:bookmarkEnd w:id="54"/>
    </w:p>
    <w:p>
      <w:pPr>
        <w:pStyle w:val="2"/>
        <w:rPr>
          <w:rFonts w:hint="eastAsia"/>
          <w:lang w:eastAsia="zh-CN"/>
        </w:rPr>
      </w:pPr>
    </w:p>
    <w:p>
      <w:pPr>
        <w:snapToGrid w:val="0"/>
        <w:textAlignment w:val="baseline"/>
        <w:rPr>
          <w:rFonts w:ascii="宋体" w:hAnsi="宋体" w:cs="宋体"/>
          <w:color w:val="000000"/>
          <w:w w:val="80"/>
          <w:sz w:val="20"/>
          <w:szCs w:val="44"/>
        </w:rPr>
      </w:pPr>
      <w:r>
        <w:rPr>
          <w:rFonts w:hint="eastAsia" w:ascii="宋体" w:hAnsi="宋体" w:cs="宋体"/>
          <w:color w:val="000000"/>
          <w:w w:val="80"/>
          <w:szCs w:val="44"/>
        </w:rPr>
        <w:br w:type="page"/>
      </w:r>
    </w:p>
    <w:p>
      <w:pPr>
        <w:pStyle w:val="5"/>
        <w:keepLines w:val="0"/>
        <w:snapToGrid w:val="0"/>
        <w:spacing w:before="0" w:after="0" w:line="360" w:lineRule="auto"/>
        <w:jc w:val="center"/>
        <w:rPr>
          <w:rFonts w:ascii="宋体" w:hAnsi="宋体" w:cs="宋体"/>
          <w:color w:val="000000"/>
          <w:w w:val="80"/>
          <w:sz w:val="24"/>
          <w:szCs w:val="24"/>
        </w:rPr>
      </w:pPr>
      <w:r>
        <w:rPr>
          <w:rFonts w:hint="eastAsia" w:ascii="宋体" w:hAnsi="宋体" w:cs="宋体"/>
          <w:color w:val="000000"/>
          <w:w w:val="80"/>
          <w:kern w:val="2"/>
          <w:szCs w:val="44"/>
        </w:rPr>
        <w:t>第五章  合同主要条款</w:t>
      </w:r>
    </w:p>
    <w:p>
      <w:pPr>
        <w:snapToGrid w:val="0"/>
        <w:spacing w:line="360" w:lineRule="auto"/>
        <w:jc w:val="center"/>
        <w:textAlignment w:val="baseline"/>
        <w:rPr>
          <w:rFonts w:ascii="宋体"/>
          <w:b/>
          <w:bCs/>
          <w:sz w:val="36"/>
          <w:szCs w:val="36"/>
        </w:rPr>
      </w:pPr>
      <w:bookmarkStart w:id="68" w:name="_Toc434462225"/>
      <w:bookmarkStart w:id="69" w:name="_Toc434462836"/>
      <w:bookmarkStart w:id="70" w:name="_Toc451315989"/>
      <w:bookmarkStart w:id="71" w:name="_Toc451664164"/>
      <w:bookmarkStart w:id="72" w:name="_Ref451313954"/>
      <w:bookmarkStart w:id="73" w:name="_Toc434460932"/>
      <w:bookmarkStart w:id="74" w:name="_Toc451315906"/>
      <w:bookmarkStart w:id="75" w:name="_Ref451243616"/>
      <w:bookmarkStart w:id="76" w:name="_Toc434897340"/>
      <w:r>
        <w:rPr>
          <w:rFonts w:hint="eastAsia" w:ascii="宋体" w:hAnsi="宋体" w:cs="宋体"/>
          <w:b/>
          <w:bCs/>
          <w:sz w:val="36"/>
          <w:szCs w:val="36"/>
        </w:rPr>
        <w:t>合同书</w:t>
      </w:r>
      <w:bookmarkEnd w:id="68"/>
      <w:bookmarkEnd w:id="69"/>
      <w:bookmarkEnd w:id="70"/>
      <w:bookmarkEnd w:id="71"/>
      <w:bookmarkEnd w:id="72"/>
      <w:bookmarkEnd w:id="73"/>
      <w:bookmarkEnd w:id="74"/>
      <w:bookmarkEnd w:id="75"/>
      <w:bookmarkEnd w:id="76"/>
    </w:p>
    <w:p>
      <w:pPr>
        <w:snapToGrid w:val="0"/>
        <w:spacing w:line="360" w:lineRule="auto"/>
        <w:jc w:val="left"/>
        <w:textAlignment w:val="baseline"/>
        <w:rPr>
          <w:rFonts w:ascii="宋体" w:hAnsi="宋体" w:cs="宋体"/>
          <w:sz w:val="24"/>
          <w:szCs w:val="24"/>
          <w:u w:val="single"/>
        </w:rPr>
      </w:pPr>
      <w:r>
        <w:rPr>
          <w:rFonts w:hint="eastAsia" w:ascii="宋体" w:hAnsi="宋体" w:cs="宋体"/>
          <w:spacing w:val="46"/>
          <w:sz w:val="24"/>
          <w:szCs w:val="24"/>
        </w:rPr>
        <w:t>采购人</w:t>
      </w:r>
      <w:r>
        <w:rPr>
          <w:rFonts w:hint="eastAsia" w:ascii="宋体" w:hAnsi="宋体" w:cs="宋体"/>
          <w:sz w:val="24"/>
          <w:szCs w:val="24"/>
        </w:rPr>
        <w:t>（或称甲方）：</w:t>
      </w:r>
    </w:p>
    <w:p>
      <w:pPr>
        <w:snapToGrid w:val="0"/>
        <w:spacing w:line="360" w:lineRule="auto"/>
        <w:jc w:val="left"/>
        <w:textAlignment w:val="baseline"/>
        <w:rPr>
          <w:rFonts w:ascii="宋体" w:hAnsi="宋体" w:cs="宋体"/>
          <w:bCs/>
          <w:sz w:val="24"/>
          <w:szCs w:val="24"/>
        </w:rPr>
      </w:pPr>
      <w:r>
        <w:rPr>
          <w:rFonts w:hint="eastAsia" w:ascii="宋体" w:hAnsi="宋体" w:cs="宋体"/>
          <w:sz w:val="24"/>
          <w:szCs w:val="24"/>
        </w:rPr>
        <w:t>成交供应商（或称乙方）：</w:t>
      </w:r>
    </w:p>
    <w:p>
      <w:pPr>
        <w:snapToGrid w:val="0"/>
        <w:spacing w:line="360" w:lineRule="auto"/>
        <w:jc w:val="left"/>
        <w:textAlignment w:val="baseline"/>
        <w:rPr>
          <w:rFonts w:ascii="宋体" w:hAnsi="宋体" w:cs="宋体"/>
          <w:sz w:val="24"/>
          <w:szCs w:val="24"/>
        </w:rPr>
      </w:pPr>
      <w:r>
        <w:rPr>
          <w:rFonts w:hint="eastAsia" w:ascii="宋体" w:hAnsi="宋体" w:cs="宋体"/>
          <w:sz w:val="24"/>
          <w:szCs w:val="24"/>
        </w:rPr>
        <w:t>签订时间：</w:t>
      </w:r>
      <w:r>
        <w:rPr>
          <w:rFonts w:hint="eastAsia" w:ascii="宋体" w:hAnsi="宋体" w:cs="宋体"/>
          <w:sz w:val="24"/>
          <w:szCs w:val="24"/>
          <w:u w:val="single" w:color="000000"/>
        </w:rPr>
        <w:t>2021</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p>
    <w:p>
      <w:pPr>
        <w:snapToGrid w:val="0"/>
        <w:spacing w:line="360" w:lineRule="auto"/>
        <w:jc w:val="left"/>
        <w:textAlignment w:val="baseline"/>
        <w:rPr>
          <w:sz w:val="24"/>
          <w:szCs w:val="24"/>
        </w:rPr>
      </w:pPr>
      <w:r>
        <w:rPr>
          <w:rFonts w:hint="eastAsia" w:ascii="宋体" w:hAnsi="宋体" w:cs="宋体"/>
          <w:sz w:val="24"/>
          <w:szCs w:val="24"/>
        </w:rPr>
        <w:t>签订地点：</w:t>
      </w:r>
    </w:p>
    <w:p>
      <w:pPr>
        <w:snapToGrid w:val="0"/>
        <w:spacing w:line="360" w:lineRule="auto"/>
        <w:ind w:firstLine="480" w:firstLineChars="200"/>
        <w:textAlignment w:val="baseline"/>
        <w:rPr>
          <w:sz w:val="24"/>
          <w:szCs w:val="24"/>
        </w:rPr>
      </w:pPr>
      <w:r>
        <w:rPr>
          <w:rFonts w:hint="eastAsia"/>
          <w:sz w:val="24"/>
          <w:szCs w:val="24"/>
        </w:rPr>
        <w:t>根据</w:t>
      </w:r>
      <w:r>
        <w:rPr>
          <w:sz w:val="24"/>
          <w:szCs w:val="24"/>
        </w:rPr>
        <w:t>《中华人民共和国政府采购法》规定，</w:t>
      </w:r>
      <w:r>
        <w:rPr>
          <w:rFonts w:hint="eastAsia" w:ascii="宋体" w:hAnsi="宋体" w:cs="宋体"/>
          <w:bCs/>
          <w:sz w:val="24"/>
          <w:szCs w:val="24"/>
          <w:u w:val="single" w:color="000000"/>
        </w:rPr>
        <w:t>南通市公安局崇川分局</w:t>
      </w:r>
      <w:r>
        <w:rPr>
          <w:rFonts w:hint="eastAsia" w:ascii="宋体" w:hAnsi="宋体" w:cs="宋体"/>
          <w:sz w:val="24"/>
          <w:szCs w:val="24"/>
          <w:u w:val="single" w:color="000000"/>
        </w:rPr>
        <w:t>陈桥派出所智能枪弹柜、智能单警装备柜采购项目</w:t>
      </w:r>
      <w:r>
        <w:rPr>
          <w:sz w:val="24"/>
          <w:szCs w:val="24"/>
        </w:rPr>
        <w:t>实行</w:t>
      </w:r>
      <w:r>
        <w:rPr>
          <w:rFonts w:hint="eastAsia"/>
          <w:sz w:val="24"/>
          <w:szCs w:val="24"/>
        </w:rPr>
        <w:t>竞争性磋商</w:t>
      </w:r>
      <w:r>
        <w:rPr>
          <w:sz w:val="24"/>
          <w:szCs w:val="24"/>
        </w:rPr>
        <w:t>方式采购。本着公开、公平、公正和择优的原则，经专家评委严格评审并推荐乙方为成交供应商。在真实、充分地表达各自意愿的基础上，根据《中华人民共和国</w:t>
      </w:r>
      <w:r>
        <w:rPr>
          <w:rFonts w:hint="eastAsia"/>
          <w:sz w:val="24"/>
          <w:szCs w:val="24"/>
        </w:rPr>
        <w:t>民法典</w:t>
      </w:r>
      <w:r>
        <w:rPr>
          <w:sz w:val="24"/>
          <w:szCs w:val="24"/>
        </w:rPr>
        <w:t>》的规定，达成如下协议，并由双方共同恪守。</w:t>
      </w:r>
    </w:p>
    <w:p>
      <w:pPr>
        <w:pStyle w:val="25"/>
        <w:snapToGrid w:val="0"/>
        <w:spacing w:before="156" w:line="360" w:lineRule="auto"/>
        <w:ind w:firstLine="480" w:firstLineChars="200"/>
        <w:textAlignment w:val="baseline"/>
        <w:rPr>
          <w:rFonts w:hAnsi="宋体" w:cs="宋体"/>
          <w:sz w:val="24"/>
          <w:szCs w:val="24"/>
        </w:rPr>
      </w:pPr>
    </w:p>
    <w:p>
      <w:pPr>
        <w:snapToGrid w:val="0"/>
        <w:spacing w:line="360" w:lineRule="auto"/>
        <w:textAlignment w:val="baseline"/>
        <w:rPr>
          <w:sz w:val="20"/>
        </w:rPr>
      </w:pPr>
      <w:r>
        <w:rPr>
          <w:rFonts w:hint="eastAsia"/>
          <w:b/>
          <w:bCs/>
          <w:sz w:val="24"/>
          <w:szCs w:val="24"/>
        </w:rPr>
        <w:t>一</w:t>
      </w:r>
      <w:r>
        <w:rPr>
          <w:b/>
          <w:bCs/>
          <w:sz w:val="24"/>
          <w:szCs w:val="24"/>
        </w:rPr>
        <w:t>、</w:t>
      </w:r>
      <w:r>
        <w:rPr>
          <w:rFonts w:hint="eastAsia" w:ascii="宋体" w:hAnsi="宋体" w:cs="宋体"/>
          <w:b/>
          <w:bCs/>
          <w:sz w:val="24"/>
          <w:szCs w:val="24"/>
        </w:rPr>
        <w:t>合同数量、技术要求、金额及付款方式：</w:t>
      </w:r>
    </w:p>
    <w:tbl>
      <w:tblPr>
        <w:tblStyle w:val="51"/>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679"/>
        <w:gridCol w:w="1342"/>
        <w:gridCol w:w="940"/>
        <w:gridCol w:w="1466"/>
        <w:gridCol w:w="136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序号</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产品名称</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highlight w:val="yellow"/>
              </w:rPr>
              <w:t>品牌</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单位</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采购数量</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单价</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一、</w:t>
            </w:r>
          </w:p>
        </w:tc>
        <w:tc>
          <w:tcPr>
            <w:tcW w:w="84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left"/>
              <w:textAlignment w:val="baseline"/>
              <w:rPr>
                <w:rFonts w:ascii="宋体" w:hAnsi="宋体"/>
                <w:b/>
                <w:sz w:val="24"/>
                <w:szCs w:val="24"/>
              </w:rPr>
            </w:pPr>
            <w:r>
              <w:rPr>
                <w:rFonts w:hint="eastAsia" w:ascii="宋体" w:hAnsi="宋体" w:cs="宋体"/>
                <w:b/>
                <w:bCs/>
                <w:sz w:val="24"/>
                <w:szCs w:val="24"/>
              </w:rPr>
              <w:t>智能枪弹柜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1</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napToGrid w:val="0"/>
              <w:ind w:firstLine="0" w:firstLineChars="0"/>
              <w:jc w:val="center"/>
              <w:textAlignment w:val="baseline"/>
              <w:rPr>
                <w:rFonts w:ascii="宋体" w:hAnsi="宋体"/>
                <w:szCs w:val="24"/>
              </w:rPr>
            </w:pPr>
            <w:r>
              <w:rPr>
                <w:rFonts w:hint="eastAsia" w:ascii="宋体" w:hAnsi="宋体"/>
                <w:szCs w:val="24"/>
              </w:rPr>
              <w:t>智能枪弹柜</w:t>
            </w:r>
          </w:p>
          <w:p>
            <w:pPr>
              <w:pStyle w:val="2"/>
              <w:snapToGrid w:val="0"/>
              <w:ind w:firstLine="0" w:firstLineChars="0"/>
              <w:jc w:val="center"/>
              <w:textAlignment w:val="baseline"/>
              <w:rPr>
                <w:sz w:val="21"/>
              </w:rPr>
            </w:pPr>
            <w:r>
              <w:rPr>
                <w:rFonts w:hint="eastAsia" w:ascii="宋体" w:hAnsi="宋体" w:cs="宋体"/>
                <w:szCs w:val="24"/>
                <w:highlight w:val="magenta"/>
              </w:rPr>
              <w:t>（核心产品）</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sz w:val="24"/>
                <w:szCs w:val="24"/>
              </w:rPr>
              <w:t>套</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sz w:val="24"/>
                <w:szCs w:val="24"/>
              </w:rPr>
              <w:t>1</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2</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sz w:val="24"/>
                <w:szCs w:val="24"/>
              </w:rPr>
              <w:t>智能枪弹控制软件</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sz w:val="24"/>
                <w:szCs w:val="24"/>
              </w:rPr>
              <w:t>套</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sz w:val="24"/>
                <w:szCs w:val="24"/>
              </w:rPr>
              <w:t>1</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7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sz w:val="24"/>
                <w:szCs w:val="24"/>
              </w:rPr>
            </w:pPr>
            <w:r>
              <w:rPr>
                <w:rFonts w:hint="eastAsia"/>
                <w:sz w:val="24"/>
                <w:szCs w:val="24"/>
              </w:rPr>
              <w:t>小计</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sz w:val="24"/>
                <w:szCs w:val="24"/>
              </w:rPr>
            </w:pP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二、</w:t>
            </w:r>
          </w:p>
        </w:tc>
        <w:tc>
          <w:tcPr>
            <w:tcW w:w="84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textAlignment w:val="baseline"/>
              <w:rPr>
                <w:rFonts w:ascii="宋体" w:hAnsi="宋体" w:cs="宋体"/>
                <w:sz w:val="24"/>
                <w:szCs w:val="24"/>
              </w:rPr>
            </w:pPr>
            <w:r>
              <w:rPr>
                <w:rFonts w:hint="eastAsia" w:ascii="宋体" w:hAnsi="宋体" w:cs="宋体"/>
                <w:b/>
                <w:bCs/>
                <w:sz w:val="24"/>
                <w:szCs w:val="24"/>
              </w:rPr>
              <w:t>智能单警装备柜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1</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napToGrid w:val="0"/>
              <w:ind w:firstLine="0" w:firstLineChars="0"/>
              <w:jc w:val="center"/>
              <w:textAlignment w:val="baseline"/>
              <w:rPr>
                <w:rFonts w:ascii="宋体" w:hAnsi="宋体"/>
                <w:szCs w:val="24"/>
              </w:rPr>
            </w:pPr>
            <w:r>
              <w:rPr>
                <w:rFonts w:hint="eastAsia" w:ascii="宋体" w:hAnsi="宋体"/>
                <w:szCs w:val="24"/>
              </w:rPr>
              <w:t>智能装备主柜</w:t>
            </w:r>
          </w:p>
          <w:p>
            <w:pPr>
              <w:pStyle w:val="2"/>
              <w:snapToGrid w:val="0"/>
              <w:ind w:firstLine="0" w:firstLineChars="0"/>
              <w:jc w:val="center"/>
              <w:textAlignment w:val="baseline"/>
              <w:rPr>
                <w:sz w:val="21"/>
              </w:rPr>
            </w:pPr>
            <w:r>
              <w:rPr>
                <w:rFonts w:hint="eastAsia" w:ascii="宋体" w:hAnsi="宋体" w:cs="宋体"/>
                <w:szCs w:val="24"/>
                <w:highlight w:val="magenta"/>
              </w:rPr>
              <w:t>（核心产品）</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940"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textAlignment w:val="baseline"/>
              <w:rPr>
                <w:sz w:val="24"/>
                <w:szCs w:val="24"/>
              </w:rPr>
            </w:pPr>
          </w:p>
          <w:p>
            <w:pPr>
              <w:snapToGrid w:val="0"/>
              <w:jc w:val="center"/>
              <w:textAlignment w:val="baseline"/>
              <w:rPr>
                <w:rFonts w:ascii="宋体" w:hAnsi="宋体" w:cs="宋体"/>
                <w:sz w:val="24"/>
                <w:szCs w:val="24"/>
              </w:rPr>
            </w:pPr>
            <w:r>
              <w:rPr>
                <w:rFonts w:hint="eastAsia"/>
                <w:sz w:val="24"/>
                <w:szCs w:val="24"/>
              </w:rPr>
              <w:t>套</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sz w:val="24"/>
                <w:szCs w:val="24"/>
              </w:rPr>
              <w:t>2</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2</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sz w:val="24"/>
                <w:szCs w:val="24"/>
              </w:rPr>
              <w:t>智能装备从柜</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940"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textAlignment w:val="baseline"/>
              <w:rPr>
                <w:sz w:val="24"/>
                <w:szCs w:val="24"/>
              </w:rPr>
            </w:pPr>
          </w:p>
          <w:p>
            <w:pPr>
              <w:snapToGrid w:val="0"/>
              <w:jc w:val="center"/>
              <w:textAlignment w:val="baseline"/>
              <w:rPr>
                <w:rFonts w:ascii="宋体" w:hAnsi="宋体" w:cs="宋体"/>
                <w:sz w:val="24"/>
                <w:szCs w:val="24"/>
              </w:rPr>
            </w:pPr>
            <w:r>
              <w:rPr>
                <w:rFonts w:hint="eastAsia"/>
                <w:sz w:val="24"/>
                <w:szCs w:val="24"/>
              </w:rPr>
              <w:t>套</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sz w:val="24"/>
                <w:szCs w:val="24"/>
              </w:rPr>
              <w:t>8</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3</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sz w:val="24"/>
                <w:szCs w:val="24"/>
              </w:rPr>
              <w:t>管理软件</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940"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textAlignment w:val="baseline"/>
              <w:rPr>
                <w:sz w:val="24"/>
                <w:szCs w:val="24"/>
              </w:rPr>
            </w:pPr>
          </w:p>
          <w:p>
            <w:pPr>
              <w:snapToGrid w:val="0"/>
              <w:jc w:val="center"/>
              <w:textAlignment w:val="baseline"/>
              <w:rPr>
                <w:rFonts w:ascii="宋体" w:hAnsi="宋体" w:cs="宋体"/>
                <w:sz w:val="24"/>
                <w:szCs w:val="24"/>
              </w:rPr>
            </w:pPr>
            <w:r>
              <w:rPr>
                <w:rFonts w:hint="eastAsia"/>
                <w:sz w:val="24"/>
                <w:szCs w:val="24"/>
              </w:rPr>
              <w:t>套</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sz w:val="24"/>
                <w:szCs w:val="24"/>
              </w:rPr>
              <w:t>1</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7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sz w:val="24"/>
                <w:szCs w:val="24"/>
              </w:rPr>
            </w:pPr>
            <w:r>
              <w:rPr>
                <w:rFonts w:hint="eastAsia"/>
                <w:sz w:val="24"/>
                <w:szCs w:val="24"/>
              </w:rPr>
              <w:t>小计</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sz w:val="24"/>
                <w:szCs w:val="24"/>
              </w:rPr>
            </w:pP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合计</w:t>
            </w:r>
          </w:p>
        </w:tc>
        <w:tc>
          <w:tcPr>
            <w:tcW w:w="84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textAlignment w:val="baseline"/>
              <w:rPr>
                <w:rFonts w:ascii="宋体" w:hAnsi="宋体" w:cs="宋体"/>
                <w:sz w:val="24"/>
                <w:szCs w:val="24"/>
              </w:rPr>
            </w:pPr>
            <w:r>
              <w:rPr>
                <w:rFonts w:hint="eastAsia" w:ascii="宋体" w:hAnsi="宋体" w:cs="宋体"/>
                <w:sz w:val="24"/>
                <w:szCs w:val="24"/>
              </w:rPr>
              <w:t xml:space="preserve">大写：                  小写：               </w:t>
            </w:r>
          </w:p>
        </w:tc>
      </w:tr>
    </w:tbl>
    <w:p>
      <w:pPr>
        <w:snapToGrid w:val="0"/>
        <w:spacing w:line="360" w:lineRule="auto"/>
        <w:ind w:firstLine="494" w:firstLineChars="206"/>
        <w:textAlignment w:val="baseline"/>
        <w:rPr>
          <w:rFonts w:ascii="宋体" w:hAnsi="宋体" w:cs="宋体"/>
          <w:bCs/>
          <w:sz w:val="24"/>
          <w:szCs w:val="24"/>
        </w:rPr>
      </w:pPr>
      <w:r>
        <w:rPr>
          <w:rFonts w:hint="eastAsia" w:ascii="宋体" w:hAnsi="宋体" w:cs="宋体"/>
          <w:sz w:val="24"/>
          <w:szCs w:val="24"/>
        </w:rPr>
        <w:t>1、合同价包括所有的产品材料费（含辅材费）、设计费、加工制作费、包装费、保险费、检测验收费、运输到采购人指定地点的装运费用（含装卸力资）、成品保护费、安装费、技术支持与培训费、售后服务费、人工费及为完成本项目并达到采购人要求所必须发生的全部费用以及供应商的企业利润、税金和政策性文件规定及合同包含的所有风险、责任等各项应有费用。</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2、结算方式：</w:t>
      </w:r>
    </w:p>
    <w:p>
      <w:pPr>
        <w:snapToGrid w:val="0"/>
        <w:spacing w:line="360" w:lineRule="auto"/>
        <w:ind w:firstLine="480" w:firstLineChars="200"/>
        <w:textAlignment w:val="baseline"/>
        <w:rPr>
          <w:rFonts w:ascii="宋体" w:hAnsi="宋体" w:cs="宋体"/>
          <w:b/>
          <w:color w:val="000000"/>
          <w:sz w:val="24"/>
          <w:szCs w:val="24"/>
        </w:rPr>
      </w:pPr>
      <w:r>
        <w:rPr>
          <w:rFonts w:hint="eastAsia" w:ascii="宋体" w:hAnsi="宋体" w:cs="宋体"/>
          <w:sz w:val="24"/>
          <w:szCs w:val="24"/>
        </w:rPr>
        <w:t>乙方缴纳履约保证金，且合同签订后，甲方支付合同价款的30%作为预付款，乙方按照甲方规定的交货时间将货物运送到甲方指定地点且安装调试完毕，验收合格后，甲方付至合同价款的95%，余款5%转为质量保证金，在一年免费质保期满后，且无质量问题一次性不计息付清。乙方须提供相应金额且符合甲方财务制度规定的增值税发票，甲方按程序审批后支付款项。</w:t>
      </w:r>
    </w:p>
    <w:p>
      <w:pPr>
        <w:numPr>
          <w:ilvl w:val="0"/>
          <w:numId w:val="6"/>
        </w:num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乙方按采购文件规定缴纳了元（合同价*10%）的履约保证金，乙方在按要求保质保量的完成该项目服务后，甲方凭乙方提交的申请，一次性无息退还该合同项目的履约保证金。</w:t>
      </w:r>
    </w:p>
    <w:p>
      <w:pPr>
        <w:numPr>
          <w:ilvl w:val="0"/>
          <w:numId w:val="6"/>
        </w:numPr>
        <w:snapToGrid w:val="0"/>
        <w:spacing w:line="360" w:lineRule="auto"/>
        <w:ind w:firstLine="480" w:firstLineChars="200"/>
        <w:textAlignment w:val="baseline"/>
        <w:rPr>
          <w:rFonts w:ascii="宋体" w:hAnsi="宋体" w:cs="宋体"/>
          <w:sz w:val="24"/>
          <w:szCs w:val="24"/>
        </w:rPr>
      </w:pPr>
      <w:r>
        <w:rPr>
          <w:rFonts w:hint="eastAsia" w:ascii="宋体" w:hAnsi="宋体" w:cs="宋体"/>
          <w:color w:val="000000"/>
          <w:sz w:val="24"/>
          <w:szCs w:val="24"/>
        </w:rPr>
        <w:t>由于乙方原因，在签订合同后出现不按合同履行的情况，甲方有权将履约保证金作为违约金，全额不予退还，同时甲方亦有权终止合同，乙方还须承担相应的法律赔偿责任。</w:t>
      </w:r>
    </w:p>
    <w:p>
      <w:pPr>
        <w:pStyle w:val="2"/>
        <w:snapToGrid w:val="0"/>
        <w:spacing w:after="0" w:line="360" w:lineRule="auto"/>
        <w:ind w:firstLine="480"/>
        <w:textAlignment w:val="baseline"/>
        <w:rPr>
          <w:sz w:val="21"/>
        </w:rPr>
      </w:pPr>
      <w:r>
        <w:rPr>
          <w:rFonts w:hint="eastAsia" w:ascii="宋体" w:hAnsi="宋体" w:cs="宋体"/>
          <w:color w:val="000000"/>
          <w:szCs w:val="24"/>
        </w:rPr>
        <w:t>5、</w:t>
      </w:r>
      <w:r>
        <w:rPr>
          <w:rFonts w:hint="eastAsia" w:ascii="宋体" w:hAnsi="宋体"/>
          <w:szCs w:val="24"/>
        </w:rPr>
        <w:t>如因采购人实际需求导致数量发生变化，成交供应商须无条件满足采购人需求，确保供货质量并及时提供物资。</w:t>
      </w:r>
    </w:p>
    <w:p>
      <w:pPr>
        <w:snapToGrid w:val="0"/>
        <w:spacing w:line="360" w:lineRule="auto"/>
        <w:ind w:firstLine="480" w:firstLineChars="200"/>
        <w:textAlignment w:val="baseline"/>
        <w:rPr>
          <w:rFonts w:ascii="宋体" w:hAnsi="宋体" w:cs="宋体"/>
          <w:color w:val="000000"/>
          <w:kern w:val="0"/>
          <w:sz w:val="24"/>
          <w:szCs w:val="24"/>
        </w:rPr>
      </w:pPr>
      <w:r>
        <w:rPr>
          <w:rFonts w:hint="eastAsia" w:ascii="宋体" w:hAnsi="宋体" w:cs="宋体"/>
          <w:b/>
          <w:bCs/>
          <w:sz w:val="24"/>
          <w:szCs w:val="24"/>
        </w:rPr>
        <w:t>二、质量保证</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kern w:val="0"/>
          <w:sz w:val="24"/>
          <w:szCs w:val="24"/>
        </w:rPr>
        <w:t>1、</w:t>
      </w:r>
      <w:r>
        <w:rPr>
          <w:rFonts w:hint="eastAsia" w:ascii="宋体" w:hAnsi="宋体" w:cs="宋体"/>
          <w:color w:val="000000"/>
          <w:sz w:val="24"/>
          <w:szCs w:val="24"/>
          <w:lang w:val="zh-CN"/>
        </w:rPr>
        <w:t>乙方应保证</w:t>
      </w:r>
      <w:r>
        <w:rPr>
          <w:rFonts w:hint="eastAsia" w:ascii="宋体" w:hAnsi="宋体" w:cs="宋体"/>
          <w:color w:val="000000"/>
          <w:sz w:val="24"/>
          <w:szCs w:val="24"/>
        </w:rPr>
        <w:t>所有货物都</w:t>
      </w:r>
      <w:r>
        <w:rPr>
          <w:rFonts w:hint="eastAsia" w:ascii="宋体" w:hAnsi="宋体" w:cs="宋体"/>
          <w:color w:val="000000"/>
          <w:sz w:val="24"/>
          <w:szCs w:val="24"/>
          <w:lang w:val="zh-CN"/>
        </w:rPr>
        <w:t>是全新、未使用过的原厂合格产品，并完全符合</w:t>
      </w:r>
      <w:r>
        <w:rPr>
          <w:rFonts w:hint="eastAsia" w:ascii="宋体" w:hAnsi="宋体" w:cs="宋体"/>
          <w:color w:val="000000"/>
          <w:sz w:val="24"/>
          <w:szCs w:val="24"/>
        </w:rPr>
        <w:t>磋商</w:t>
      </w:r>
      <w:r>
        <w:rPr>
          <w:rFonts w:hint="eastAsia" w:ascii="宋体" w:hAnsi="宋体" w:cs="宋体"/>
          <w:color w:val="000000"/>
          <w:sz w:val="24"/>
          <w:szCs w:val="24"/>
          <w:lang w:val="zh-CN"/>
        </w:rPr>
        <w:t>文件规定的质量、规格和参数的要求。验收过程中发现产品不符合上述要求的，将视作不合格产品，使用方有权终止合同，造成的一切损失由</w:t>
      </w:r>
      <w:r>
        <w:rPr>
          <w:rFonts w:hint="eastAsia" w:ascii="宋体" w:hAnsi="宋体" w:cs="宋体"/>
          <w:color w:val="000000"/>
          <w:sz w:val="24"/>
          <w:szCs w:val="24"/>
        </w:rPr>
        <w:t>乙方</w:t>
      </w:r>
      <w:r>
        <w:rPr>
          <w:rFonts w:hint="eastAsia" w:ascii="宋体" w:hAnsi="宋体" w:cs="宋体"/>
          <w:color w:val="000000"/>
          <w:sz w:val="24"/>
          <w:szCs w:val="24"/>
          <w:lang w:val="zh-CN"/>
        </w:rPr>
        <w:t>承担。</w:t>
      </w:r>
    </w:p>
    <w:p>
      <w:pPr>
        <w:snapToGrid w:val="0"/>
        <w:spacing w:line="360" w:lineRule="auto"/>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2、乙方应保证提供的产品不得侵犯第三方专利权、商标权和设计权、版权等。否则，乙方应负全部责任，并承担由此引起的一切后果。</w:t>
      </w:r>
    </w:p>
    <w:p>
      <w:pPr>
        <w:pStyle w:val="3"/>
        <w:snapToGrid w:val="0"/>
        <w:spacing w:after="0" w:line="360" w:lineRule="auto"/>
        <w:textAlignment w:val="baseline"/>
        <w:rPr>
          <w:rFonts w:ascii="宋体" w:hAnsi="宋体" w:cs="宋体"/>
          <w:szCs w:val="24"/>
        </w:rPr>
      </w:pPr>
      <w:r>
        <w:rPr>
          <w:rFonts w:hint="eastAsia" w:ascii="宋体" w:hAnsi="宋体" w:cs="宋体"/>
          <w:color w:val="000000"/>
          <w:kern w:val="0"/>
          <w:szCs w:val="24"/>
        </w:rPr>
        <w:t>2、</w:t>
      </w:r>
      <w:r>
        <w:rPr>
          <w:rFonts w:hint="eastAsia" w:ascii="宋体" w:hAnsi="宋体" w:cs="宋体"/>
          <w:bCs/>
          <w:szCs w:val="24"/>
        </w:rPr>
        <w:t>成交产品的技术标准按国家标准执行，无国家标准的，按行业标准执行，无国家和行业标准的，按企业标准执行；但在磋商文件中有特别要求的，按磋商文件中规定的要求执行，并且符合相关法律、法规规定的要求。</w:t>
      </w:r>
    </w:p>
    <w:p>
      <w:pPr>
        <w:snapToGrid w:val="0"/>
        <w:spacing w:line="360" w:lineRule="auto"/>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3、乙方必须保证所提供的产品符合国家相应质量要求，所有产品必须具备产品合格证书</w:t>
      </w:r>
      <w:r>
        <w:rPr>
          <w:rFonts w:hint="eastAsia" w:ascii="宋体" w:hAnsi="宋体" w:cs="宋体"/>
          <w:color w:val="000000"/>
          <w:kern w:val="0"/>
          <w:sz w:val="24"/>
          <w:szCs w:val="24"/>
          <w:lang w:val="zh-CN"/>
        </w:rPr>
        <w:t>和检测报告</w:t>
      </w:r>
      <w:r>
        <w:rPr>
          <w:rFonts w:hint="eastAsia" w:ascii="宋体" w:hAnsi="宋体" w:cs="宋体"/>
          <w:color w:val="000000"/>
          <w:kern w:val="0"/>
          <w:sz w:val="24"/>
          <w:szCs w:val="24"/>
        </w:rPr>
        <w:t>，并随货同行。</w:t>
      </w:r>
    </w:p>
    <w:p>
      <w:pPr>
        <w:pStyle w:val="3"/>
        <w:snapToGrid w:val="0"/>
        <w:spacing w:after="0" w:line="360" w:lineRule="auto"/>
        <w:textAlignment w:val="baseline"/>
        <w:rPr>
          <w:rFonts w:ascii="宋体" w:hAnsi="宋体" w:cs="宋体"/>
          <w:szCs w:val="24"/>
        </w:rPr>
      </w:pPr>
      <w:r>
        <w:rPr>
          <w:rFonts w:hint="eastAsia" w:ascii="宋体" w:hAnsi="宋体" w:cs="宋体"/>
          <w:color w:val="000000"/>
          <w:kern w:val="0"/>
          <w:szCs w:val="24"/>
        </w:rPr>
        <w:t>4、</w:t>
      </w:r>
      <w:r>
        <w:rPr>
          <w:rFonts w:hint="eastAsia" w:ascii="宋体" w:hAnsi="宋体" w:cs="宋体"/>
          <w:bCs/>
          <w:szCs w:val="24"/>
        </w:rPr>
        <w:t>产品的包装，国家或行业主管部门有规定的，按规定执行。</w:t>
      </w:r>
    </w:p>
    <w:p>
      <w:pPr>
        <w:pStyle w:val="19"/>
        <w:snapToGrid w:val="0"/>
        <w:spacing w:line="360" w:lineRule="auto"/>
        <w:ind w:firstLine="480"/>
        <w:textAlignment w:val="baseline"/>
        <w:rPr>
          <w:rFonts w:ascii="宋体" w:hAnsi="宋体" w:cs="宋体"/>
          <w:color w:val="000000"/>
          <w:kern w:val="0"/>
          <w:szCs w:val="24"/>
        </w:rPr>
      </w:pPr>
      <w:r>
        <w:rPr>
          <w:rFonts w:hint="eastAsia" w:ascii="宋体" w:hAnsi="宋体" w:cs="宋体"/>
          <w:color w:val="000000"/>
          <w:kern w:val="0"/>
          <w:szCs w:val="24"/>
        </w:rPr>
        <w:t>5、乙方所提供的物资如出现质量问题，应及时且无条件负责更换为合格产品。</w:t>
      </w:r>
    </w:p>
    <w:p>
      <w:pPr>
        <w:snapToGrid w:val="0"/>
        <w:spacing w:line="360" w:lineRule="auto"/>
        <w:ind w:firstLine="480" w:firstLineChars="200"/>
        <w:textAlignment w:val="baseline"/>
        <w:rPr>
          <w:sz w:val="20"/>
        </w:rPr>
      </w:pPr>
      <w:r>
        <w:rPr>
          <w:rFonts w:hint="eastAsia" w:ascii="宋体" w:hAnsi="宋体" w:cs="宋体"/>
          <w:bCs/>
          <w:sz w:val="24"/>
          <w:szCs w:val="24"/>
        </w:rPr>
        <w:t>6、乙方所供货物最终验收后，应对由于设计、工艺或材料的缺陷而发生的任何不足或故障负责，并承担由此引起的一切后果。</w:t>
      </w:r>
    </w:p>
    <w:p>
      <w:pPr>
        <w:pStyle w:val="19"/>
        <w:snapToGrid w:val="0"/>
        <w:spacing w:line="360" w:lineRule="auto"/>
        <w:ind w:firstLine="480"/>
        <w:textAlignment w:val="baseline"/>
        <w:rPr>
          <w:rFonts w:ascii="宋体" w:hAnsi="宋体" w:cs="宋体"/>
          <w:bCs/>
          <w:szCs w:val="24"/>
        </w:rPr>
      </w:pPr>
      <w:r>
        <w:rPr>
          <w:rFonts w:hint="eastAsia" w:ascii="宋体" w:hAnsi="宋体" w:cs="宋体"/>
          <w:kern w:val="0"/>
          <w:szCs w:val="24"/>
        </w:rPr>
        <w:t>7、</w:t>
      </w:r>
      <w:r>
        <w:rPr>
          <w:rFonts w:hint="eastAsia" w:ascii="宋体" w:hAnsi="宋体" w:cs="宋体"/>
          <w:color w:val="000000"/>
          <w:kern w:val="0"/>
          <w:szCs w:val="24"/>
          <w:lang w:val="zh-CN" w:bidi="zh-CN"/>
        </w:rPr>
        <w:t>在</w:t>
      </w:r>
      <w:r>
        <w:rPr>
          <w:rFonts w:hint="eastAsia" w:ascii="宋体" w:hAnsi="宋体" w:cs="宋体"/>
          <w:color w:val="000000"/>
          <w:kern w:val="0"/>
          <w:szCs w:val="24"/>
          <w:lang w:bidi="zh-CN"/>
        </w:rPr>
        <w:t>质保期</w:t>
      </w:r>
      <w:r>
        <w:rPr>
          <w:rFonts w:hint="eastAsia" w:ascii="宋体" w:hAnsi="宋体" w:cs="宋体"/>
          <w:color w:val="000000"/>
          <w:kern w:val="0"/>
          <w:szCs w:val="24"/>
          <w:lang w:val="zh-CN" w:bidi="zh-CN"/>
        </w:rPr>
        <w:t>内，乙方应对本项目出现的质量及安全问题负责处理解决并承担一切费用</w:t>
      </w:r>
      <w:r>
        <w:rPr>
          <w:rFonts w:hint="eastAsia" w:ascii="宋体" w:hAnsi="宋体" w:cs="宋体"/>
          <w:bCs/>
          <w:szCs w:val="24"/>
        </w:rPr>
        <w:t>。</w:t>
      </w:r>
    </w:p>
    <w:p>
      <w:pPr>
        <w:snapToGrid w:val="0"/>
        <w:spacing w:line="360" w:lineRule="auto"/>
        <w:ind w:firstLine="480" w:firstLineChars="200"/>
        <w:textAlignment w:val="baseline"/>
        <w:rPr>
          <w:sz w:val="20"/>
        </w:rPr>
      </w:pPr>
      <w:r>
        <w:rPr>
          <w:rFonts w:hint="eastAsia" w:ascii="宋体" w:hAnsi="宋体" w:cs="宋体"/>
          <w:bCs/>
          <w:sz w:val="24"/>
          <w:szCs w:val="24"/>
        </w:rPr>
        <w:t>8、乙方应保证其货物在正确安装、正常使用和保养条件下，在其使用寿命期内应具有满意的性能。</w:t>
      </w:r>
    </w:p>
    <w:p>
      <w:pPr>
        <w:snapToGrid w:val="0"/>
        <w:spacing w:line="360" w:lineRule="auto"/>
        <w:ind w:firstLine="480" w:firstLineChars="200"/>
        <w:jc w:val="left"/>
        <w:textAlignment w:val="baseline"/>
        <w:rPr>
          <w:rFonts w:ascii="宋体" w:hAnsi="宋体" w:cs="宋体"/>
          <w:sz w:val="24"/>
          <w:szCs w:val="24"/>
        </w:rPr>
      </w:pPr>
      <w:r>
        <w:rPr>
          <w:rFonts w:hint="eastAsia" w:ascii="宋体" w:hAnsi="宋体" w:cs="宋体"/>
          <w:kern w:val="0"/>
          <w:sz w:val="24"/>
          <w:szCs w:val="24"/>
        </w:rPr>
        <w:t>9、</w:t>
      </w:r>
      <w:r>
        <w:rPr>
          <w:rFonts w:hint="eastAsia" w:ascii="宋体" w:hAnsi="宋体" w:cs="宋体"/>
          <w:color w:val="000000"/>
          <w:kern w:val="0"/>
          <w:sz w:val="24"/>
          <w:szCs w:val="24"/>
        </w:rPr>
        <w:t>乙方</w:t>
      </w:r>
      <w:r>
        <w:rPr>
          <w:rFonts w:hint="eastAsia" w:ascii="宋体" w:hAnsi="宋体" w:cs="宋体"/>
          <w:bCs/>
          <w:sz w:val="24"/>
          <w:szCs w:val="24"/>
        </w:rPr>
        <w:t>应采取必要的安全措施保证货物的运输及安装的安全</w:t>
      </w:r>
      <w:r>
        <w:rPr>
          <w:rFonts w:hint="eastAsia" w:ascii="宋体" w:hAnsi="宋体" w:cs="宋体"/>
          <w:sz w:val="24"/>
          <w:szCs w:val="24"/>
        </w:rPr>
        <w:t>，</w:t>
      </w:r>
      <w:r>
        <w:rPr>
          <w:rFonts w:hint="eastAsia" w:ascii="宋体" w:hAnsi="宋体" w:cs="宋体"/>
          <w:bCs/>
          <w:sz w:val="24"/>
          <w:szCs w:val="24"/>
        </w:rPr>
        <w:t>并承担货物的运输及安装过程中产生的风险</w:t>
      </w:r>
      <w:r>
        <w:rPr>
          <w:rFonts w:hint="eastAsia" w:ascii="宋体" w:hAnsi="宋体" w:cs="宋体"/>
          <w:kern w:val="0"/>
          <w:sz w:val="24"/>
          <w:szCs w:val="24"/>
        </w:rPr>
        <w:t>。</w:t>
      </w:r>
    </w:p>
    <w:p>
      <w:pPr>
        <w:snapToGrid w:val="0"/>
        <w:spacing w:line="360" w:lineRule="auto"/>
        <w:ind w:firstLine="484" w:firstLineChars="202"/>
        <w:textAlignment w:val="baseline"/>
        <w:rPr>
          <w:rFonts w:ascii="宋体" w:hAnsi="宋体" w:cs="宋体"/>
          <w:b/>
          <w:bCs/>
          <w:sz w:val="24"/>
        </w:rPr>
      </w:pPr>
      <w:r>
        <w:rPr>
          <w:rFonts w:hint="eastAsia" w:ascii="宋体" w:hAnsi="宋体" w:cs="宋体"/>
          <w:b/>
          <w:bCs/>
          <w:sz w:val="24"/>
        </w:rPr>
        <w:t>三、标的物的交付</w:t>
      </w:r>
    </w:p>
    <w:p>
      <w:pPr>
        <w:pStyle w:val="25"/>
        <w:snapToGrid w:val="0"/>
        <w:spacing w:line="360" w:lineRule="auto"/>
        <w:ind w:right="-315" w:firstLine="540" w:firstLineChars="225"/>
        <w:textAlignment w:val="baseline"/>
        <w:rPr>
          <w:rFonts w:hAnsi="宋体" w:cs="宋体"/>
          <w:sz w:val="24"/>
        </w:rPr>
      </w:pPr>
      <w:r>
        <w:rPr>
          <w:rFonts w:hint="eastAsia" w:hAnsi="宋体" w:cs="宋体"/>
          <w:color w:val="000000"/>
          <w:sz w:val="24"/>
          <w:szCs w:val="24"/>
        </w:rPr>
        <w:t>1、</w:t>
      </w:r>
      <w:r>
        <w:rPr>
          <w:rFonts w:hint="eastAsia" w:hAnsi="宋体" w:cs="宋体"/>
          <w:sz w:val="24"/>
        </w:rPr>
        <w:t>标的物的所有权自标的物交付时转移。</w:t>
      </w:r>
    </w:p>
    <w:p>
      <w:pPr>
        <w:pStyle w:val="25"/>
        <w:snapToGrid w:val="0"/>
        <w:spacing w:line="360" w:lineRule="auto"/>
        <w:ind w:right="-315" w:firstLine="540" w:firstLineChars="225"/>
        <w:textAlignment w:val="baseline"/>
        <w:rPr>
          <w:rFonts w:hAnsi="宋体" w:cs="宋体"/>
          <w:sz w:val="24"/>
        </w:rPr>
      </w:pPr>
      <w:r>
        <w:rPr>
          <w:rFonts w:hint="eastAsia" w:hAnsi="宋体" w:cs="宋体"/>
          <w:sz w:val="24"/>
        </w:rPr>
        <w:t>2、乙方应当按照约定的期限和约定的地点交付标的物。</w:t>
      </w:r>
    </w:p>
    <w:p>
      <w:pPr>
        <w:pStyle w:val="25"/>
        <w:snapToGrid w:val="0"/>
        <w:spacing w:line="360" w:lineRule="auto"/>
        <w:ind w:right="-315" w:firstLine="540" w:firstLineChars="225"/>
        <w:textAlignment w:val="baseline"/>
        <w:rPr>
          <w:rFonts w:hAnsi="宋体" w:cs="宋体"/>
          <w:sz w:val="24"/>
        </w:rPr>
      </w:pPr>
      <w:r>
        <w:rPr>
          <w:rFonts w:hint="eastAsia" w:hAnsi="宋体" w:cs="宋体"/>
          <w:sz w:val="24"/>
        </w:rPr>
        <w:t>3、乙方应当按照约定或者交易习惯向甲方交付提取标的物单证以外的有关单证和资料。</w:t>
      </w:r>
    </w:p>
    <w:p>
      <w:pPr>
        <w:pStyle w:val="25"/>
        <w:snapToGrid w:val="0"/>
        <w:spacing w:line="360" w:lineRule="auto"/>
        <w:ind w:right="-315" w:firstLine="540" w:firstLineChars="225"/>
        <w:textAlignment w:val="baseline"/>
        <w:rPr>
          <w:rFonts w:hAnsi="宋体" w:cs="宋体"/>
          <w:sz w:val="24"/>
        </w:rPr>
      </w:pPr>
      <w:r>
        <w:rPr>
          <w:rFonts w:hint="eastAsia" w:hAnsi="宋体" w:cs="宋体"/>
          <w:sz w:val="24"/>
        </w:rPr>
        <w:t>4、产品设备交货、安装调试服务</w:t>
      </w:r>
    </w:p>
    <w:p>
      <w:pPr>
        <w:pStyle w:val="25"/>
        <w:snapToGrid w:val="0"/>
        <w:spacing w:line="360" w:lineRule="auto"/>
        <w:ind w:right="-315" w:firstLine="540" w:firstLineChars="225"/>
        <w:textAlignment w:val="baseline"/>
        <w:rPr>
          <w:rFonts w:hAnsi="宋体" w:cs="宋体"/>
          <w:sz w:val="24"/>
        </w:rPr>
      </w:pPr>
      <w:r>
        <w:rPr>
          <w:rFonts w:hint="eastAsia" w:hAnsi="宋体" w:cs="宋体"/>
          <w:sz w:val="24"/>
        </w:rPr>
        <w:t xml:space="preserve">4.1产品设备交付： </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① 交货地点：产品设备送至甲方指定的地点并负责安装、调试。</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② 货物装卸、运输涉及到的保险，其费用包含在合同总价中。</w:t>
      </w:r>
    </w:p>
    <w:p>
      <w:pPr>
        <w:snapToGrid w:val="0"/>
        <w:spacing w:line="360" w:lineRule="auto"/>
        <w:ind w:firstLine="484" w:firstLineChars="202"/>
        <w:textAlignment w:val="baseline"/>
        <w:rPr>
          <w:rFonts w:ascii="宋体" w:hAnsi="宋体" w:cs="宋体"/>
          <w:bCs/>
          <w:sz w:val="24"/>
          <w:szCs w:val="24"/>
        </w:rPr>
      </w:pPr>
      <w:r>
        <w:rPr>
          <w:rFonts w:hint="eastAsia" w:ascii="宋体" w:hAnsi="宋体" w:cs="宋体"/>
          <w:b/>
          <w:sz w:val="24"/>
          <w:szCs w:val="24"/>
        </w:rPr>
        <w:t>4.2交货期:</w:t>
      </w:r>
      <w:r>
        <w:rPr>
          <w:rFonts w:hint="eastAsia" w:ascii="宋体" w:hAnsi="宋体" w:cs="宋体"/>
          <w:bCs/>
          <w:sz w:val="24"/>
          <w:szCs w:val="24"/>
        </w:rPr>
        <w:t>乙方须自合同签定之日起</w:t>
      </w:r>
      <w:r>
        <w:rPr>
          <w:rFonts w:hint="eastAsia" w:ascii="宋体" w:hAnsi="宋体" w:cs="宋体"/>
          <w:bCs/>
          <w:sz w:val="24"/>
          <w:szCs w:val="24"/>
          <w:highlight w:val="none"/>
          <w:u w:val="single" w:color="auto"/>
          <w:lang w:val="en-US" w:eastAsia="zh-CN"/>
        </w:rPr>
        <w:t>15</w:t>
      </w:r>
      <w:r>
        <w:rPr>
          <w:rFonts w:hint="eastAsia" w:ascii="宋体" w:hAnsi="宋体" w:cs="宋体"/>
          <w:bCs/>
          <w:sz w:val="24"/>
          <w:szCs w:val="24"/>
          <w:highlight w:val="none"/>
          <w:u w:val="single" w:color="auto"/>
        </w:rPr>
        <w:t>天</w:t>
      </w:r>
      <w:r>
        <w:rPr>
          <w:rFonts w:hint="eastAsia" w:ascii="宋体" w:hAnsi="宋体" w:cs="宋体"/>
          <w:bCs/>
          <w:sz w:val="24"/>
          <w:szCs w:val="24"/>
        </w:rPr>
        <w:t>内交货并安装调试结束，</w:t>
      </w:r>
      <w:r>
        <w:rPr>
          <w:rFonts w:hint="eastAsia" w:ascii="宋体" w:hAnsi="宋体" w:cs="宋体"/>
          <w:sz w:val="24"/>
          <w:szCs w:val="24"/>
        </w:rPr>
        <w:t>乙方自行负责安装后垃圾的处理及现场的复原。</w:t>
      </w:r>
      <w:r>
        <w:rPr>
          <w:rFonts w:hint="eastAsia" w:ascii="宋体" w:hAnsi="宋体" w:cs="宋体"/>
          <w:bCs/>
          <w:sz w:val="24"/>
          <w:szCs w:val="24"/>
        </w:rPr>
        <w:t>。</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4.3乙方发货到甲方指定地点前应先告知甲方。产品交货时，应提供到货产品、材料的清单等。若未提供或少提供相应的货物，甲方有权扣除乙方缴纳的所有履约保证金。</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4.4按国家相关行业规定安装规范和标准完成安装、服务工作。</w:t>
      </w:r>
    </w:p>
    <w:p>
      <w:pPr>
        <w:widowControl/>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4.5全部货物的外包装必须采用防漏、防潮、防震、防锈、防盗和考虑到可能会发生的野蛮装卸等长途运输及多次装卸之需要。如因乙方包装不当以及其它原因造成损坏或丢失，应由乙方负一切责任。</w:t>
      </w:r>
    </w:p>
    <w:p>
      <w:pPr>
        <w:widowControl/>
        <w:snapToGrid w:val="0"/>
        <w:spacing w:line="360" w:lineRule="auto"/>
        <w:ind w:firstLine="480" w:firstLineChars="200"/>
        <w:jc w:val="left"/>
        <w:textAlignment w:val="baseline"/>
        <w:rPr>
          <w:sz w:val="20"/>
        </w:rPr>
      </w:pPr>
      <w:r>
        <w:rPr>
          <w:rFonts w:hint="eastAsia" w:ascii="宋体" w:hAnsi="宋体" w:cs="宋体"/>
          <w:sz w:val="24"/>
        </w:rPr>
        <w:t>4.6</w:t>
      </w:r>
      <w:r>
        <w:rPr>
          <w:rFonts w:hint="eastAsia" w:ascii="宋体" w:hAnsi="宋体" w:cs="宋体"/>
          <w:b/>
          <w:bCs/>
          <w:sz w:val="24"/>
        </w:rPr>
        <w:t>交货及安装地点：甲方指定地点。</w:t>
      </w:r>
    </w:p>
    <w:p>
      <w:pPr>
        <w:pStyle w:val="25"/>
        <w:snapToGrid w:val="0"/>
        <w:spacing w:line="360" w:lineRule="auto"/>
        <w:ind w:right="-315" w:firstLine="540" w:firstLineChars="225"/>
        <w:textAlignment w:val="baseline"/>
        <w:rPr>
          <w:rFonts w:hAnsi="宋体" w:cs="宋体"/>
          <w:sz w:val="24"/>
          <w:szCs w:val="24"/>
          <w:lang w:val="zh-CN"/>
        </w:rPr>
      </w:pPr>
      <w:r>
        <w:rPr>
          <w:rFonts w:hint="eastAsia" w:hAnsi="宋体" w:cs="宋体"/>
          <w:sz w:val="24"/>
          <w:szCs w:val="24"/>
        </w:rPr>
        <w:t>5、甲方</w:t>
      </w:r>
      <w:r>
        <w:rPr>
          <w:rFonts w:hint="eastAsia" w:hAnsi="宋体" w:cs="宋体"/>
          <w:sz w:val="24"/>
          <w:szCs w:val="24"/>
          <w:lang w:val="zh-CN"/>
        </w:rPr>
        <w:t>如需追加</w:t>
      </w:r>
      <w:r>
        <w:rPr>
          <w:rFonts w:hint="eastAsia" w:hAnsi="宋体" w:cs="宋体"/>
          <w:sz w:val="24"/>
          <w:szCs w:val="24"/>
        </w:rPr>
        <w:t>货物的数量</w:t>
      </w:r>
      <w:r>
        <w:rPr>
          <w:rFonts w:hint="eastAsia" w:hAnsi="宋体" w:cs="宋体"/>
          <w:sz w:val="24"/>
          <w:szCs w:val="24"/>
          <w:lang w:val="zh-CN"/>
        </w:rPr>
        <w:t>，</w:t>
      </w:r>
      <w:r>
        <w:rPr>
          <w:rFonts w:hint="eastAsia" w:hAnsi="宋体" w:cs="宋体"/>
          <w:sz w:val="24"/>
          <w:szCs w:val="24"/>
        </w:rPr>
        <w:t>乙方</w:t>
      </w:r>
      <w:r>
        <w:rPr>
          <w:rFonts w:hint="eastAsia" w:hAnsi="宋体" w:cs="宋体"/>
          <w:sz w:val="24"/>
          <w:szCs w:val="24"/>
          <w:lang w:val="zh-CN"/>
        </w:rPr>
        <w:t>需按</w:t>
      </w:r>
      <w:r>
        <w:rPr>
          <w:rFonts w:hint="eastAsia" w:hAnsi="宋体" w:cs="宋体"/>
          <w:sz w:val="24"/>
          <w:szCs w:val="24"/>
        </w:rPr>
        <w:t>甲方</w:t>
      </w:r>
      <w:r>
        <w:rPr>
          <w:rFonts w:hint="eastAsia" w:hAnsi="宋体" w:cs="宋体"/>
          <w:sz w:val="24"/>
          <w:szCs w:val="24"/>
          <w:lang w:val="zh-CN"/>
        </w:rPr>
        <w:t>要求供货，</w:t>
      </w:r>
      <w:r>
        <w:rPr>
          <w:rFonts w:hint="eastAsia" w:hAnsi="宋体" w:cs="宋体"/>
          <w:sz w:val="24"/>
          <w:szCs w:val="24"/>
        </w:rPr>
        <w:t>按合同</w:t>
      </w:r>
      <w:r>
        <w:rPr>
          <w:rFonts w:hint="eastAsia" w:hAnsi="宋体" w:cs="宋体"/>
          <w:sz w:val="24"/>
          <w:szCs w:val="24"/>
          <w:lang w:val="zh-CN"/>
        </w:rPr>
        <w:t>单价*实际供货量进行结算。</w:t>
      </w:r>
    </w:p>
    <w:p>
      <w:pPr>
        <w:snapToGrid w:val="0"/>
        <w:spacing w:line="360" w:lineRule="auto"/>
        <w:ind w:firstLine="484" w:firstLineChars="202"/>
        <w:textAlignment w:val="baseline"/>
        <w:rPr>
          <w:rFonts w:ascii="宋体" w:hAnsi="宋体" w:cs="宋体"/>
          <w:b/>
          <w:bCs/>
          <w:sz w:val="24"/>
        </w:rPr>
      </w:pPr>
      <w:r>
        <w:rPr>
          <w:rFonts w:hint="eastAsia" w:ascii="宋体" w:hAnsi="宋体" w:cs="宋体"/>
          <w:b/>
          <w:bCs/>
          <w:sz w:val="24"/>
        </w:rPr>
        <w:t>四、包装</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1、乙方提供的设备必须为原包装，在送交甲方验收前不得拆箱。</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2、乙方所出售的全部货物均应按标准保护措施进行包装，这类包装应适应于远距离运输、防潮、防震、防锈和防野蛮装卸等要求，以确保货物安全无损地运抵指定现场。</w:t>
      </w:r>
    </w:p>
    <w:p>
      <w:pPr>
        <w:snapToGrid w:val="0"/>
        <w:spacing w:line="360" w:lineRule="auto"/>
        <w:ind w:firstLine="484" w:firstLineChars="202"/>
        <w:textAlignment w:val="baseline"/>
        <w:rPr>
          <w:rFonts w:ascii="宋体" w:hAnsi="宋体" w:cs="宋体"/>
          <w:sz w:val="24"/>
          <w:szCs w:val="24"/>
          <w:lang w:val="zh-CN"/>
        </w:rPr>
      </w:pPr>
      <w:r>
        <w:rPr>
          <w:rFonts w:hint="eastAsia" w:ascii="宋体" w:hAnsi="宋体" w:cs="宋体"/>
          <w:sz w:val="24"/>
        </w:rPr>
        <w:t>3、每一个包装箱内应附有出厂标准配置的有关技术、质量、三包等资料。</w:t>
      </w:r>
    </w:p>
    <w:p>
      <w:pPr>
        <w:snapToGrid w:val="0"/>
        <w:spacing w:line="360" w:lineRule="auto"/>
        <w:ind w:firstLine="480" w:firstLineChars="200"/>
        <w:textAlignment w:val="baseline"/>
        <w:rPr>
          <w:rFonts w:ascii="宋体" w:hAnsi="宋体" w:cs="宋体"/>
          <w:b/>
          <w:sz w:val="24"/>
          <w:szCs w:val="24"/>
        </w:rPr>
      </w:pPr>
      <w:r>
        <w:rPr>
          <w:rFonts w:hint="eastAsia" w:ascii="宋体" w:hAnsi="宋体" w:cs="宋体"/>
          <w:b/>
          <w:sz w:val="24"/>
          <w:szCs w:val="24"/>
        </w:rPr>
        <w:t>五、标的物的检验和验收</w:t>
      </w:r>
    </w:p>
    <w:p>
      <w:pPr>
        <w:snapToGrid w:val="0"/>
        <w:spacing w:line="360" w:lineRule="auto"/>
        <w:ind w:firstLine="460" w:firstLineChars="192"/>
        <w:textAlignment w:val="baseline"/>
        <w:rPr>
          <w:rFonts w:ascii="宋体" w:hAnsi="宋体" w:cs="宋体"/>
          <w:bCs/>
          <w:sz w:val="24"/>
          <w:szCs w:val="24"/>
        </w:rPr>
      </w:pPr>
      <w:r>
        <w:rPr>
          <w:rFonts w:hint="eastAsia" w:ascii="宋体" w:hAnsi="宋体" w:cs="宋体"/>
          <w:sz w:val="24"/>
        </w:rPr>
        <w:t>甲方有权在产品制造过程中进行中期验收和交付后检测，如验收不合格，甲方有权中止合同，验收合格，验收所发生的费用由甲方承担，验收不合格所发生的一切费用由乙方承担，按照实际发生的费用从履约保证金中扣除，扣完为止。</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b/>
          <w:sz w:val="24"/>
          <w:szCs w:val="24"/>
        </w:rPr>
        <w:t xml:space="preserve">六、质保及售后服务要求 </w:t>
      </w:r>
    </w:p>
    <w:p>
      <w:pPr>
        <w:snapToGrid w:val="0"/>
        <w:spacing w:line="360" w:lineRule="auto"/>
        <w:ind w:firstLine="460" w:firstLineChars="192"/>
        <w:textAlignment w:val="baseline"/>
        <w:rPr>
          <w:rFonts w:ascii="宋体" w:hAnsi="宋体" w:cs="宋体"/>
          <w:bCs/>
          <w:sz w:val="24"/>
          <w:szCs w:val="24"/>
        </w:rPr>
      </w:pPr>
      <w:r>
        <w:rPr>
          <w:rFonts w:hint="eastAsia" w:ascii="宋体" w:hAnsi="宋体" w:cs="宋体"/>
          <w:sz w:val="24"/>
          <w:szCs w:val="24"/>
        </w:rPr>
        <w:t>1、</w:t>
      </w:r>
      <w:r>
        <w:rPr>
          <w:rFonts w:hint="eastAsia" w:ascii="宋体" w:hAnsi="宋体" w:cs="宋体"/>
          <w:bCs/>
          <w:sz w:val="24"/>
          <w:szCs w:val="24"/>
        </w:rPr>
        <w:t>本项目各需求产品的免费质保期按国家统一标准执行。</w:t>
      </w:r>
    </w:p>
    <w:p>
      <w:pPr>
        <w:snapToGrid w:val="0"/>
        <w:spacing w:line="360" w:lineRule="auto"/>
        <w:ind w:firstLine="480" w:firstLineChars="200"/>
        <w:textAlignment w:val="baseline"/>
        <w:rPr>
          <w:rFonts w:ascii="宋体" w:hAnsi="宋体" w:cs="宋体"/>
          <w:bCs/>
          <w:sz w:val="24"/>
          <w:szCs w:val="24"/>
        </w:rPr>
      </w:pPr>
      <w:r>
        <w:rPr>
          <w:rFonts w:hint="eastAsia" w:ascii="宋体" w:hAnsi="宋体" w:cs="宋体"/>
          <w:bCs/>
          <w:sz w:val="24"/>
          <w:szCs w:val="24"/>
        </w:rPr>
        <w:t xml:space="preserve">2、交货时成交供应商还需向采购单位提供全套技术资料和文件，至少应包括以下内容： </w:t>
      </w:r>
    </w:p>
    <w:p>
      <w:pPr>
        <w:snapToGrid w:val="0"/>
        <w:spacing w:line="360" w:lineRule="auto"/>
        <w:ind w:firstLine="480" w:firstLineChars="200"/>
        <w:textAlignment w:val="baseline"/>
        <w:rPr>
          <w:rFonts w:ascii="宋体" w:hAnsi="宋体" w:cs="宋体"/>
          <w:bCs/>
          <w:sz w:val="24"/>
          <w:szCs w:val="24"/>
        </w:rPr>
      </w:pPr>
      <w:r>
        <w:rPr>
          <w:rFonts w:hint="eastAsia" w:ascii="宋体" w:hAnsi="宋体" w:cs="宋体"/>
          <w:bCs/>
          <w:sz w:val="24"/>
          <w:szCs w:val="24"/>
        </w:rPr>
        <w:t>A、设备装箱清单；</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B、质检合格证明；</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C、检测报告；</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D、中文操作手册；</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E、安装中文说明书；</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F、中文维修手册；</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3、所有货物须按合同指定地点、时间前调试合格并交付使用。</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4、验收交付使用后，按合同提供免费保修服务，提供销售和服务网点报修电话；提供此次项目的技术人员及售后服务人员情况。</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5、乙方须提供安装、调试、培训、维护等服务。所有设备质保期内免费维护维修及技术支持。产品在使用过程中出现问题，甲方向乙方发出故障通知后，乙方应积极响应，尽快查明故障原因，0.5小时内到位，查明原因，一般问题应在2小时内解决，重大故障在24小时内解决，如24小时内还不能修复的免费提供备用设备至修复。在质保期内因产品本身质量问题发生故障，需免费更换，具体免费更换方法以国家三包法为准，超过质保期后，所有产品提供终身成本维修（维修只收取部件成本费）。</w:t>
      </w:r>
    </w:p>
    <w:p>
      <w:pPr>
        <w:snapToGrid w:val="0"/>
        <w:spacing w:line="360" w:lineRule="auto"/>
        <w:ind w:firstLine="484" w:firstLineChars="202"/>
        <w:textAlignment w:val="baseline"/>
        <w:rPr>
          <w:rFonts w:ascii="宋体" w:hAnsi="宋体" w:cs="宋体"/>
          <w:bCs/>
          <w:sz w:val="24"/>
          <w:szCs w:val="24"/>
        </w:rPr>
      </w:pPr>
      <w:r>
        <w:rPr>
          <w:rFonts w:hint="eastAsia" w:ascii="宋体" w:hAnsi="宋体" w:cs="宋体"/>
          <w:sz w:val="24"/>
        </w:rPr>
        <w:t>6、除项目需求涉及到的材料，所需配套、安装调试费用请自行测算并包含在项目整体报价中，如有遗漏均由成交供应商承担，非甲方进行功能性调整，不进行任何增补。</w:t>
      </w:r>
      <w:r>
        <w:rPr>
          <w:rFonts w:hint="eastAsia" w:ascii="宋体" w:hAnsi="宋体" w:cs="宋体"/>
          <w:bCs/>
          <w:sz w:val="24"/>
          <w:szCs w:val="24"/>
        </w:rPr>
        <w:t>一旦功能不符要求，项目改造费用均由乙方负责承担支付，同时甲方有权将合同款扣除用于支付第三方建设费用。</w:t>
      </w:r>
    </w:p>
    <w:p>
      <w:pPr>
        <w:snapToGrid w:val="0"/>
        <w:spacing w:line="360" w:lineRule="auto"/>
        <w:ind w:firstLine="484" w:firstLineChars="202"/>
        <w:textAlignment w:val="baseline"/>
        <w:rPr>
          <w:rFonts w:ascii="宋体" w:hAnsi="宋体" w:cs="宋体"/>
          <w:sz w:val="24"/>
        </w:rPr>
      </w:pPr>
      <w:r>
        <w:rPr>
          <w:rFonts w:hint="eastAsia" w:ascii="宋体" w:hAnsi="宋体" w:cs="宋体"/>
          <w:bCs/>
          <w:sz w:val="24"/>
          <w:szCs w:val="24"/>
        </w:rPr>
        <w:t>7、</w:t>
      </w:r>
      <w:r>
        <w:rPr>
          <w:rFonts w:hint="eastAsia" w:ascii="宋体" w:hAnsi="宋体" w:cs="宋体"/>
          <w:sz w:val="24"/>
        </w:rPr>
        <w:t>乙方应对采购单位设备操作人员进行简单维护、维修培训，确保使用者了解维护方法和进行简单的维修操作。</w:t>
      </w:r>
    </w:p>
    <w:p>
      <w:pPr>
        <w:snapToGrid w:val="0"/>
        <w:spacing w:line="360" w:lineRule="auto"/>
        <w:ind w:firstLine="484" w:firstLineChars="202"/>
        <w:textAlignment w:val="baseline"/>
        <w:rPr>
          <w:rFonts w:ascii="宋体" w:hAnsi="宋体" w:cs="宋体"/>
          <w:bCs/>
          <w:sz w:val="24"/>
          <w:szCs w:val="24"/>
        </w:rPr>
      </w:pPr>
      <w:r>
        <w:rPr>
          <w:rFonts w:hint="eastAsia" w:ascii="宋体" w:hAnsi="宋体" w:cs="宋体"/>
          <w:sz w:val="24"/>
        </w:rPr>
        <w:t>8、所有货品由乙方免费按时送达指定地点，并安装调配好。</w:t>
      </w:r>
    </w:p>
    <w:p>
      <w:pPr>
        <w:widowControl/>
        <w:shd w:val="clear" w:color="auto" w:fill="FFFFFF"/>
        <w:snapToGrid w:val="0"/>
        <w:spacing w:line="360" w:lineRule="auto"/>
        <w:ind w:firstLine="480" w:firstLineChars="200"/>
        <w:jc w:val="left"/>
        <w:textAlignment w:val="baseline"/>
        <w:rPr>
          <w:rFonts w:ascii="宋体" w:hAnsi="宋体" w:cs="宋体"/>
          <w:b/>
          <w:bCs/>
          <w:kern w:val="0"/>
          <w:sz w:val="24"/>
          <w:szCs w:val="24"/>
        </w:rPr>
      </w:pPr>
      <w:r>
        <w:rPr>
          <w:rFonts w:hint="eastAsia" w:ascii="宋体" w:hAnsi="宋体" w:cs="宋体"/>
          <w:b/>
          <w:bCs/>
          <w:kern w:val="0"/>
          <w:sz w:val="24"/>
          <w:szCs w:val="24"/>
        </w:rPr>
        <w:t>七、违约责任</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szCs w:val="24"/>
        </w:rPr>
        <w:t>1、</w:t>
      </w:r>
      <w:r>
        <w:rPr>
          <w:rFonts w:hint="eastAsia" w:ascii="宋体" w:hAnsi="宋体" w:cs="宋体"/>
          <w:sz w:val="24"/>
        </w:rPr>
        <w:t>在合同生效后，非乙方原因甲方要求退货的，应向乙方偿付合同总价款的</w:t>
      </w:r>
      <w:r>
        <w:rPr>
          <w:rFonts w:hint="eastAsia" w:ascii="宋体" w:hAnsi="宋体" w:cs="宋体"/>
          <w:sz w:val="24"/>
          <w:u w:val="single" w:color="000000"/>
        </w:rPr>
        <w:t xml:space="preserve"> 5 </w:t>
      </w:r>
      <w:r>
        <w:rPr>
          <w:rFonts w:hint="eastAsia" w:ascii="宋体" w:hAnsi="宋体" w:cs="宋体"/>
          <w:sz w:val="24"/>
        </w:rPr>
        <w:t>%，作为违约金，违约金不足以补偿损失的，乙方有权要求甲方补足。</w:t>
      </w:r>
    </w:p>
    <w:p>
      <w:pPr>
        <w:pStyle w:val="2"/>
        <w:snapToGrid w:val="0"/>
        <w:spacing w:after="0" w:line="360" w:lineRule="auto"/>
        <w:ind w:firstLine="480"/>
        <w:textAlignment w:val="baseline"/>
        <w:rPr>
          <w:sz w:val="21"/>
        </w:rPr>
      </w:pPr>
      <w:r>
        <w:rPr>
          <w:rFonts w:hint="eastAsia" w:ascii="宋体" w:hAnsi="宋体" w:cs="宋体"/>
        </w:rPr>
        <w:t>2、甲方违反合同规定，拒绝接收乙方交付的合格标的物，应当承担乙方由此造成的损失。</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2、乙方不能交货，或交货不合格从而影响甲方按期正常使用的，应向甲方偿付合同总价款</w:t>
      </w:r>
      <w:r>
        <w:rPr>
          <w:rFonts w:hint="eastAsia" w:ascii="宋体" w:hAnsi="宋体" w:cs="宋体"/>
          <w:sz w:val="24"/>
          <w:szCs w:val="24"/>
          <w:u w:val="single" w:color="000000"/>
        </w:rPr>
        <w:t>5</w:t>
      </w:r>
      <w:r>
        <w:rPr>
          <w:rFonts w:hint="eastAsia" w:ascii="宋体" w:hAnsi="宋体" w:cs="宋体"/>
          <w:sz w:val="24"/>
          <w:szCs w:val="24"/>
        </w:rPr>
        <w:t>%的违约金，违约金不足以补偿损失的，甲方有权要求乙方补足。</w:t>
      </w:r>
    </w:p>
    <w:p>
      <w:pPr>
        <w:snapToGrid w:val="0"/>
        <w:spacing w:line="360" w:lineRule="auto"/>
        <w:ind w:firstLine="573"/>
        <w:textAlignment w:val="baseline"/>
        <w:rPr>
          <w:rFonts w:ascii="宋体" w:hAnsi="宋体" w:cs="宋体"/>
          <w:color w:val="000000"/>
          <w:sz w:val="24"/>
          <w:szCs w:val="24"/>
        </w:rPr>
      </w:pPr>
      <w:r>
        <w:rPr>
          <w:rFonts w:hint="eastAsia" w:ascii="宋体" w:hAnsi="宋体" w:cs="宋体"/>
          <w:sz w:val="24"/>
          <w:szCs w:val="24"/>
        </w:rPr>
        <w:t>3、</w:t>
      </w:r>
      <w:r>
        <w:rPr>
          <w:rFonts w:hint="eastAsia" w:ascii="宋体" w:hAnsi="宋体" w:cs="宋体"/>
          <w:color w:val="000000"/>
          <w:sz w:val="24"/>
          <w:szCs w:val="24"/>
        </w:rPr>
        <w:t>乙方逾期交货的，逾期期间每天承担合同总金额5%的违约金，</w:t>
      </w:r>
      <w:r>
        <w:rPr>
          <w:rFonts w:hint="eastAsia" w:ascii="宋体" w:hAnsi="宋体" w:cs="宋体"/>
          <w:sz w:val="24"/>
          <w:szCs w:val="24"/>
        </w:rPr>
        <w:t>同时承担甲方因此遭致的损失费用</w:t>
      </w:r>
      <w:r>
        <w:rPr>
          <w:rFonts w:hint="eastAsia" w:ascii="宋体" w:hAnsi="宋体" w:cs="宋体"/>
          <w:color w:val="000000"/>
          <w:sz w:val="24"/>
          <w:szCs w:val="24"/>
        </w:rPr>
        <w:t>。</w:t>
      </w:r>
    </w:p>
    <w:p>
      <w:pPr>
        <w:pStyle w:val="25"/>
        <w:snapToGrid w:val="0"/>
        <w:spacing w:line="360" w:lineRule="auto"/>
        <w:ind w:left="-420" w:leftChars="-200" w:right="-315" w:firstLine="960" w:firstLineChars="400"/>
        <w:textAlignment w:val="baseline"/>
        <w:rPr>
          <w:rFonts w:hAnsi="宋体" w:cs="宋体"/>
          <w:b/>
          <w:bCs/>
          <w:sz w:val="24"/>
          <w:szCs w:val="24"/>
        </w:rPr>
      </w:pPr>
      <w:r>
        <w:rPr>
          <w:rFonts w:hint="eastAsia" w:hAnsi="宋体" w:cs="宋体"/>
          <w:b/>
          <w:bCs/>
          <w:sz w:val="24"/>
          <w:szCs w:val="24"/>
        </w:rPr>
        <w:t>八、不可抗力</w:t>
      </w:r>
    </w:p>
    <w:p>
      <w:pPr>
        <w:snapToGrid w:val="0"/>
        <w:spacing w:line="360" w:lineRule="auto"/>
        <w:ind w:firstLine="573"/>
        <w:textAlignment w:val="baseline"/>
        <w:rPr>
          <w:rFonts w:ascii="宋体" w:hAnsi="宋体" w:cs="宋体"/>
          <w:sz w:val="24"/>
          <w:szCs w:val="24"/>
        </w:rPr>
      </w:pPr>
      <w:r>
        <w:rPr>
          <w:rFonts w:hint="eastAsia" w:ascii="宋体" w:hAnsi="宋体" w:cs="宋体"/>
          <w:sz w:val="24"/>
          <w:szCs w:val="24"/>
        </w:rPr>
        <w:t>1、因不可抗力不能履行合同的，根据不可抗力的影响，部分或者全部免除责任。但合同一方延迟履行后发生不可抗力的，不能免除责任。</w:t>
      </w:r>
    </w:p>
    <w:p>
      <w:pPr>
        <w:snapToGrid w:val="0"/>
        <w:spacing w:line="360" w:lineRule="auto"/>
        <w:ind w:firstLine="573"/>
        <w:textAlignment w:val="baseline"/>
        <w:rPr>
          <w:rFonts w:ascii="宋体" w:hAnsi="宋体" w:cs="宋体"/>
          <w:sz w:val="24"/>
          <w:szCs w:val="24"/>
        </w:rPr>
      </w:pPr>
      <w:r>
        <w:rPr>
          <w:rFonts w:hint="eastAsia" w:ascii="宋体" w:hAnsi="宋体" w:cs="宋体"/>
          <w:sz w:val="24"/>
          <w:szCs w:val="24"/>
        </w:rPr>
        <w:t>2、合同一方因不可抗力不能履行合同的，应当及时通知对方，以减轻可能给对方造成的损失，并应当在合理期限内提供证明。</w:t>
      </w:r>
    </w:p>
    <w:p>
      <w:pPr>
        <w:pStyle w:val="25"/>
        <w:snapToGrid w:val="0"/>
        <w:spacing w:line="360" w:lineRule="auto"/>
        <w:ind w:left="-420" w:leftChars="-200" w:right="-315" w:firstLine="960" w:firstLineChars="400"/>
        <w:textAlignment w:val="baseline"/>
        <w:rPr>
          <w:rFonts w:hAnsi="宋体" w:cs="宋体"/>
          <w:b/>
          <w:bCs/>
          <w:sz w:val="24"/>
          <w:szCs w:val="24"/>
        </w:rPr>
      </w:pPr>
      <w:r>
        <w:rPr>
          <w:rFonts w:hint="eastAsia" w:hAnsi="宋体" w:cs="宋体"/>
          <w:b/>
          <w:bCs/>
          <w:sz w:val="24"/>
          <w:szCs w:val="24"/>
        </w:rPr>
        <w:t>九、索赔</w:t>
      </w:r>
    </w:p>
    <w:p>
      <w:pPr>
        <w:snapToGrid w:val="0"/>
        <w:spacing w:line="360" w:lineRule="auto"/>
        <w:ind w:firstLine="573"/>
        <w:textAlignment w:val="baseline"/>
        <w:rPr>
          <w:rFonts w:ascii="宋体" w:hAnsi="宋体" w:cs="宋体"/>
          <w:sz w:val="24"/>
          <w:szCs w:val="24"/>
        </w:rPr>
      </w:pPr>
      <w:r>
        <w:rPr>
          <w:rFonts w:hint="eastAsia" w:ascii="宋体" w:hAnsi="宋体" w:cs="宋体"/>
          <w:sz w:val="24"/>
          <w:szCs w:val="24"/>
        </w:rPr>
        <w:t>1、甲方有权根据当地产品质量检验机构或其他有权部门出具的检验证书向乙方提出索赔。</w:t>
      </w:r>
    </w:p>
    <w:p>
      <w:pPr>
        <w:snapToGrid w:val="0"/>
        <w:spacing w:line="360" w:lineRule="auto"/>
        <w:ind w:firstLine="573"/>
        <w:textAlignment w:val="baseline"/>
        <w:rPr>
          <w:rFonts w:ascii="宋体" w:hAnsi="宋体" w:cs="宋体"/>
          <w:sz w:val="24"/>
          <w:szCs w:val="24"/>
        </w:rPr>
      </w:pPr>
      <w:r>
        <w:rPr>
          <w:rFonts w:hint="eastAsia" w:ascii="宋体" w:hAnsi="宋体" w:cs="宋体"/>
          <w:sz w:val="24"/>
          <w:szCs w:val="24"/>
        </w:rPr>
        <w:t>2、在本合同规定的检验期限和质量保证期内，如果乙方对甲方提出的索赔或差异有责任，则乙方应按甲方同意的下列一种或多种方式解决索赔事宜：</w:t>
      </w:r>
    </w:p>
    <w:p>
      <w:pPr>
        <w:snapToGrid w:val="0"/>
        <w:spacing w:line="360" w:lineRule="auto"/>
        <w:ind w:firstLine="573"/>
        <w:textAlignment w:val="baseline"/>
        <w:rPr>
          <w:rFonts w:ascii="宋体" w:hAnsi="宋体" w:cs="宋体"/>
          <w:sz w:val="24"/>
          <w:szCs w:val="24"/>
        </w:rPr>
      </w:pPr>
      <w:r>
        <w:rPr>
          <w:rFonts w:hint="eastAsia" w:ascii="宋体" w:hAnsi="宋体" w:cs="宋体"/>
          <w:sz w:val="24"/>
          <w:szCs w:val="24"/>
        </w:rPr>
        <w:t>①乙方同意退货，并按合同规定的货币将货款退还给甲方，并且承担由此发生的一切损失和费用，包括利息、银行手续费、运费、保险费、检验费、仓储费、装卸费以及为保护退回标的物所需的其他必要费用。</w:t>
      </w:r>
    </w:p>
    <w:p>
      <w:pPr>
        <w:snapToGrid w:val="0"/>
        <w:spacing w:line="360" w:lineRule="auto"/>
        <w:ind w:firstLine="573"/>
        <w:textAlignment w:val="baseline"/>
        <w:rPr>
          <w:rFonts w:ascii="宋体" w:hAnsi="宋体" w:cs="宋体"/>
          <w:sz w:val="24"/>
          <w:szCs w:val="24"/>
        </w:rPr>
      </w:pPr>
      <w:r>
        <w:rPr>
          <w:rFonts w:hint="eastAsia" w:ascii="宋体" w:hAnsi="宋体" w:cs="宋体"/>
          <w:sz w:val="24"/>
          <w:szCs w:val="24"/>
        </w:rPr>
        <w:t>②根据标的物的低劣程度、损坏程度以及甲方遭受损失的数额，经双方协商确定降低标的物的价格。</w:t>
      </w:r>
    </w:p>
    <w:p>
      <w:pPr>
        <w:pStyle w:val="2"/>
        <w:snapToGrid w:val="0"/>
        <w:spacing w:after="0" w:line="360" w:lineRule="auto"/>
        <w:ind w:firstLine="480"/>
        <w:textAlignment w:val="baseline"/>
        <w:rPr>
          <w:sz w:val="21"/>
        </w:rPr>
      </w:pPr>
      <w:r>
        <w:rPr>
          <w:rFonts w:hint="eastAsia" w:ascii="宋体" w:hAnsi="宋体" w:cs="宋体"/>
        </w:rPr>
        <w:t>③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pPr>
        <w:snapToGrid w:val="0"/>
        <w:spacing w:line="360" w:lineRule="auto"/>
        <w:ind w:firstLine="573"/>
        <w:textAlignment w:val="baseline"/>
        <w:rPr>
          <w:rFonts w:ascii="宋体" w:hAnsi="宋体" w:cs="宋体"/>
          <w:sz w:val="24"/>
          <w:szCs w:val="24"/>
        </w:rPr>
      </w:pPr>
      <w:r>
        <w:rPr>
          <w:rFonts w:hint="eastAsia" w:ascii="宋体" w:hAnsi="宋体" w:cs="宋体"/>
          <w:sz w:val="24"/>
          <w:szCs w:val="24"/>
        </w:rPr>
        <w:t xml:space="preserve">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pPr>
        <w:pStyle w:val="25"/>
        <w:snapToGrid w:val="0"/>
        <w:spacing w:line="360" w:lineRule="auto"/>
        <w:ind w:right="-315" w:firstLine="480" w:firstLineChars="200"/>
        <w:textAlignment w:val="baseline"/>
        <w:rPr>
          <w:rFonts w:hAnsi="宋体" w:cs="宋体"/>
          <w:kern w:val="0"/>
          <w:sz w:val="24"/>
          <w:szCs w:val="24"/>
        </w:rPr>
      </w:pPr>
      <w:r>
        <w:rPr>
          <w:rFonts w:hint="eastAsia" w:hAnsi="宋体" w:cs="宋体"/>
          <w:sz w:val="24"/>
          <w:szCs w:val="24"/>
        </w:rPr>
        <w:t>十、</w:t>
      </w:r>
      <w:r>
        <w:rPr>
          <w:rFonts w:hint="eastAsia" w:hAnsi="宋体" w:cs="宋体"/>
          <w:kern w:val="0"/>
          <w:sz w:val="24"/>
          <w:szCs w:val="24"/>
        </w:rPr>
        <w:t>乙方有下列行为之一，一经查实，甲方有权单方面终止合同，并向乙方追究经济赔偿：</w:t>
      </w:r>
    </w:p>
    <w:p>
      <w:pPr>
        <w:widowControl/>
        <w:shd w:val="clear" w:color="auto" w:fill="FFFFFF"/>
        <w:snapToGrid w:val="0"/>
        <w:spacing w:line="36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1、向甲方送礼品、给回扣、报销费用等不正常竞争行为的；</w:t>
      </w:r>
    </w:p>
    <w:p>
      <w:pPr>
        <w:widowControl/>
        <w:shd w:val="clear" w:color="auto" w:fill="FFFFFF"/>
        <w:snapToGrid w:val="0"/>
        <w:spacing w:line="36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2、乙方不能正常配送或者弄虚作假或者以次充好；</w:t>
      </w:r>
    </w:p>
    <w:p>
      <w:pPr>
        <w:widowControl/>
        <w:shd w:val="clear" w:color="auto" w:fill="FFFFFF"/>
        <w:snapToGrid w:val="0"/>
        <w:spacing w:line="36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3、未按照合同价格计算费用。</w:t>
      </w:r>
    </w:p>
    <w:p>
      <w:pPr>
        <w:widowControl/>
        <w:shd w:val="clear" w:color="auto" w:fill="FFFFFF"/>
        <w:snapToGrid w:val="0"/>
        <w:spacing w:line="36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4、拒绝接受甲方监督、检查、检验的。</w:t>
      </w:r>
    </w:p>
    <w:p>
      <w:pPr>
        <w:widowControl/>
        <w:shd w:val="clear" w:color="auto" w:fill="FFFFFF"/>
        <w:snapToGrid w:val="0"/>
        <w:spacing w:line="36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5、未经甲方同意，将合同部分或全部权利、义务转让给第三方。</w:t>
      </w:r>
    </w:p>
    <w:p>
      <w:pPr>
        <w:pStyle w:val="25"/>
        <w:snapToGrid w:val="0"/>
        <w:spacing w:line="360" w:lineRule="auto"/>
        <w:ind w:left="-420" w:leftChars="-200" w:right="-315" w:firstLine="960" w:firstLineChars="400"/>
        <w:textAlignment w:val="baseline"/>
        <w:rPr>
          <w:rFonts w:hAnsi="宋体" w:cs="宋体"/>
          <w:sz w:val="24"/>
          <w:szCs w:val="24"/>
        </w:rPr>
      </w:pPr>
      <w:r>
        <w:rPr>
          <w:rFonts w:hint="eastAsia" w:hAnsi="宋体" w:cs="宋体"/>
          <w:sz w:val="24"/>
          <w:szCs w:val="24"/>
        </w:rPr>
        <w:t>十一、争议的解决办法：</w:t>
      </w:r>
    </w:p>
    <w:p>
      <w:pPr>
        <w:snapToGrid w:val="0"/>
        <w:spacing w:line="360" w:lineRule="auto"/>
        <w:ind w:firstLine="480" w:firstLineChars="200"/>
        <w:textAlignment w:val="baseline"/>
        <w:rPr>
          <w:rFonts w:ascii="宋体" w:hAnsi="宋体" w:cs="宋体"/>
          <w:bCs/>
          <w:sz w:val="24"/>
          <w:szCs w:val="24"/>
        </w:rPr>
      </w:pPr>
      <w:r>
        <w:rPr>
          <w:rFonts w:hint="eastAsia" w:ascii="宋体" w:hAnsi="宋体" w:cs="宋体"/>
          <w:bCs/>
          <w:sz w:val="24"/>
          <w:szCs w:val="24"/>
        </w:rPr>
        <w:t>本合同未尽事宜双方应友好协商解决；如协商不成，由所在地人民法院解决。</w:t>
      </w:r>
    </w:p>
    <w:p>
      <w:pPr>
        <w:snapToGrid w:val="0"/>
        <w:spacing w:line="360" w:lineRule="auto"/>
        <w:ind w:firstLine="480" w:firstLineChars="200"/>
        <w:textAlignment w:val="baseline"/>
        <w:rPr>
          <w:rFonts w:ascii="宋体" w:hAnsi="宋体" w:cs="宋体"/>
          <w:bCs/>
          <w:sz w:val="24"/>
          <w:szCs w:val="24"/>
          <w:highlight w:val="cyan"/>
        </w:rPr>
      </w:pPr>
      <w:r>
        <w:rPr>
          <w:rFonts w:hint="eastAsia" w:ascii="宋体" w:hAnsi="宋体" w:cs="宋体"/>
          <w:bCs/>
          <w:sz w:val="24"/>
          <w:szCs w:val="24"/>
        </w:rPr>
        <w:t>十二、合同一式肆份，双方各执贰份，具有同等法律效力。</w:t>
      </w:r>
    </w:p>
    <w:p>
      <w:pPr>
        <w:snapToGrid w:val="0"/>
        <w:spacing w:line="360" w:lineRule="auto"/>
        <w:ind w:firstLine="480" w:firstLineChars="200"/>
        <w:textAlignment w:val="baseline"/>
        <w:rPr>
          <w:rFonts w:ascii="宋体" w:hAnsi="宋体" w:cs="宋体"/>
          <w:bCs/>
          <w:sz w:val="24"/>
          <w:szCs w:val="24"/>
        </w:rPr>
      </w:pPr>
      <w:r>
        <w:rPr>
          <w:rFonts w:hint="eastAsia" w:ascii="宋体" w:hAnsi="宋体" w:cs="宋体"/>
          <w:bCs/>
          <w:sz w:val="24"/>
          <w:szCs w:val="24"/>
        </w:rPr>
        <w:t>十三、本合同在乙方缴纳履约保证金，且经双方签字盖章后生效。</w:t>
      </w:r>
    </w:p>
    <w:p>
      <w:pPr>
        <w:snapToGrid w:val="0"/>
        <w:spacing w:line="360" w:lineRule="auto"/>
        <w:ind w:firstLine="480" w:firstLineChars="200"/>
        <w:textAlignment w:val="baseline"/>
        <w:rPr>
          <w:rFonts w:ascii="宋体" w:hAnsi="宋体" w:cs="宋体"/>
          <w:bCs/>
          <w:sz w:val="24"/>
          <w:szCs w:val="24"/>
        </w:rPr>
      </w:pPr>
      <w:r>
        <w:rPr>
          <w:rFonts w:hint="eastAsia" w:ascii="宋体" w:hAnsi="宋体" w:cs="宋体"/>
          <w:bCs/>
          <w:sz w:val="24"/>
          <w:szCs w:val="24"/>
        </w:rPr>
        <w:t>十四、甲方竞争性磋商文件、乙方响应文件、会议记录均为本合同的组成部分，具有同等法律效力。</w:t>
      </w:r>
    </w:p>
    <w:p>
      <w:pPr>
        <w:pStyle w:val="2"/>
        <w:snapToGrid w:val="0"/>
        <w:textAlignment w:val="baseline"/>
        <w:rPr>
          <w:sz w:val="21"/>
        </w:rPr>
      </w:pPr>
    </w:p>
    <w:p>
      <w:pPr>
        <w:snapToGrid w:val="0"/>
        <w:textAlignment w:val="baseline"/>
        <w:rPr>
          <w:sz w:val="20"/>
        </w:rPr>
      </w:pPr>
    </w:p>
    <w:p>
      <w:pPr>
        <w:snapToGrid w:val="0"/>
        <w:spacing w:line="360" w:lineRule="auto"/>
        <w:ind w:firstLine="480" w:firstLineChars="200"/>
        <w:textAlignment w:val="baseline"/>
        <w:rPr>
          <w:b/>
          <w:sz w:val="24"/>
          <w:szCs w:val="24"/>
        </w:rPr>
      </w:pPr>
      <w:r>
        <w:rPr>
          <w:b/>
          <w:sz w:val="24"/>
          <w:szCs w:val="24"/>
        </w:rPr>
        <w:t xml:space="preserve">甲方：（盖章）           </w:t>
      </w:r>
      <w:r>
        <w:rPr>
          <w:rFonts w:hint="eastAsia"/>
          <w:b/>
          <w:sz w:val="24"/>
          <w:szCs w:val="24"/>
          <w:lang w:val="en-US" w:eastAsia="zh-CN"/>
        </w:rPr>
        <w:t xml:space="preserve">             </w:t>
      </w:r>
      <w:r>
        <w:rPr>
          <w:b/>
          <w:sz w:val="24"/>
          <w:szCs w:val="24"/>
        </w:rPr>
        <w:t xml:space="preserve">  乙方：（盖章）</w:t>
      </w:r>
    </w:p>
    <w:p>
      <w:pPr>
        <w:pStyle w:val="2"/>
        <w:snapToGrid w:val="0"/>
        <w:textAlignment w:val="baseline"/>
        <w:rPr>
          <w:sz w:val="21"/>
        </w:rPr>
      </w:pPr>
    </w:p>
    <w:p>
      <w:pPr>
        <w:snapToGrid w:val="0"/>
        <w:spacing w:line="360" w:lineRule="auto"/>
        <w:ind w:firstLine="480" w:firstLineChars="200"/>
        <w:textAlignment w:val="baseline"/>
        <w:rPr>
          <w:b/>
          <w:sz w:val="24"/>
          <w:szCs w:val="24"/>
        </w:rPr>
      </w:pPr>
      <w:r>
        <w:rPr>
          <w:b/>
          <w:sz w:val="24"/>
          <w:szCs w:val="24"/>
        </w:rPr>
        <w:t xml:space="preserve">代表：（签字）             </w:t>
      </w:r>
      <w:r>
        <w:rPr>
          <w:rFonts w:hint="eastAsia"/>
          <w:b/>
          <w:sz w:val="24"/>
          <w:szCs w:val="24"/>
          <w:lang w:val="en-US" w:eastAsia="zh-CN"/>
        </w:rPr>
        <w:t xml:space="preserve">             </w:t>
      </w:r>
      <w:r>
        <w:rPr>
          <w:b/>
          <w:sz w:val="24"/>
          <w:szCs w:val="24"/>
        </w:rPr>
        <w:t>代表：（签字）</w:t>
      </w:r>
    </w:p>
    <w:p>
      <w:pPr>
        <w:pStyle w:val="2"/>
        <w:snapToGrid w:val="0"/>
        <w:textAlignment w:val="baseline"/>
        <w:rPr>
          <w:sz w:val="21"/>
        </w:rPr>
      </w:pPr>
    </w:p>
    <w:p>
      <w:pPr>
        <w:pStyle w:val="19"/>
        <w:snapToGrid w:val="0"/>
        <w:ind w:firstLine="480" w:firstLineChars="200"/>
        <w:textAlignment w:val="baseline"/>
        <w:rPr>
          <w:b/>
          <w:bCs/>
          <w:szCs w:val="24"/>
        </w:rPr>
      </w:pPr>
      <w:r>
        <w:rPr>
          <w:rFonts w:hint="eastAsia"/>
          <w:b/>
          <w:bCs/>
          <w:szCs w:val="24"/>
        </w:rPr>
        <w:t>年   月   日                            年   月   日</w:t>
      </w:r>
    </w:p>
    <w:p>
      <w:pPr>
        <w:snapToGrid w:val="0"/>
        <w:textAlignment w:val="baseline"/>
        <w:rPr>
          <w:rFonts w:hint="eastAsia" w:eastAsia="宋体"/>
          <w:b/>
          <w:bCs/>
          <w:szCs w:val="24"/>
          <w:lang w:eastAsia="zh-CN"/>
        </w:rPr>
      </w:pPr>
    </w:p>
    <w:p>
      <w:pPr>
        <w:pStyle w:val="2"/>
        <w:rPr>
          <w:rFonts w:hint="eastAsia"/>
          <w:lang w:eastAsia="zh-CN"/>
        </w:rPr>
      </w:pPr>
    </w:p>
    <w:p>
      <w:pPr>
        <w:pStyle w:val="2"/>
        <w:rPr>
          <w:rFonts w:hint="eastAsia"/>
          <w:lang w:eastAsia="zh-CN"/>
        </w:rPr>
      </w:pPr>
    </w:p>
    <w:p>
      <w:pPr>
        <w:snapToGrid w:val="0"/>
        <w:textAlignment w:val="baseline"/>
        <w:rPr>
          <w:rFonts w:ascii="宋体" w:hAnsi="宋体" w:cs="宋体"/>
          <w:b/>
          <w:color w:val="000000"/>
          <w:w w:val="80"/>
          <w:sz w:val="44"/>
          <w:szCs w:val="44"/>
        </w:rPr>
      </w:pPr>
      <w:r>
        <w:rPr>
          <w:rFonts w:hint="eastAsia" w:ascii="宋体" w:hAnsi="宋体" w:cs="宋体"/>
          <w:b/>
          <w:color w:val="000000"/>
          <w:w w:val="80"/>
          <w:sz w:val="44"/>
          <w:szCs w:val="44"/>
        </w:rPr>
        <w:br w:type="page"/>
      </w:r>
    </w:p>
    <w:p>
      <w:pPr>
        <w:pStyle w:val="24"/>
        <w:tabs>
          <w:tab w:val="left" w:pos="1050"/>
          <w:tab w:val="right" w:leader="dot" w:pos="9402"/>
        </w:tabs>
        <w:snapToGrid w:val="0"/>
        <w:spacing w:line="520" w:lineRule="exact"/>
        <w:ind w:left="0"/>
        <w:jc w:val="center"/>
        <w:textAlignment w:val="baseline"/>
        <w:rPr>
          <w:rFonts w:ascii="宋体" w:hAnsi="宋体" w:cs="宋体"/>
          <w:b/>
          <w:i w:val="0"/>
          <w:color w:val="000000"/>
          <w:w w:val="80"/>
          <w:sz w:val="44"/>
          <w:szCs w:val="44"/>
        </w:rPr>
      </w:pPr>
      <w:r>
        <w:rPr>
          <w:rFonts w:hint="eastAsia" w:ascii="宋体" w:hAnsi="宋体" w:cs="宋体"/>
          <w:b/>
          <w:i w:val="0"/>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一、由于项目服务时间紧迫，成交供应商在《成交通知书》发出后15日内必须按照磋商文件确定的事项签订采购合同。合同一式肆份，采购人，供应商</w:t>
      </w:r>
      <w:r>
        <w:rPr>
          <w:rFonts w:hint="eastAsia" w:ascii="宋体" w:hAnsi="宋体"/>
          <w:sz w:val="24"/>
          <w:szCs w:val="24"/>
        </w:rPr>
        <w:t>各贰份，其他存档备查。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二、采购人按合同约定积极配合中标人履约，</w:t>
      </w:r>
      <w:r>
        <w:rPr>
          <w:rFonts w:hint="eastAsia" w:ascii="宋体" w:hAnsi="宋体" w:cs="宋体"/>
          <w:color w:val="000000"/>
          <w:sz w:val="24"/>
          <w:szCs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szCs w:val="24"/>
        </w:rPr>
        <w:t>成交供应商</w:t>
      </w:r>
      <w:r>
        <w:rPr>
          <w:rFonts w:hint="eastAsia" w:ascii="宋体" w:hAnsi="宋体" w:cs="宋体"/>
          <w:sz w:val="24"/>
          <w:szCs w:val="24"/>
        </w:rPr>
        <w:t>串通或要求</w:t>
      </w:r>
      <w:r>
        <w:rPr>
          <w:rFonts w:hint="eastAsia" w:ascii="宋体" w:hAnsi="宋体" w:cs="宋体"/>
          <w:color w:val="000000"/>
          <w:sz w:val="24"/>
          <w:szCs w:val="24"/>
        </w:rPr>
        <w:t>成交供应商</w:t>
      </w:r>
      <w:r>
        <w:rPr>
          <w:rFonts w:hint="eastAsia" w:ascii="宋体" w:hAnsi="宋体" w:cs="宋体"/>
          <w:sz w:val="24"/>
          <w:szCs w:val="24"/>
        </w:rPr>
        <w:t>通过减少货物数量或降低服务标准的，在履行合同中采取更改配置、调换物品等手段的，要求中标人出具虚假发票或任意更改销售发票的，谋取不正当利益的，承担相应的法律责任。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szCs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pStyle w:val="5"/>
        <w:keepLines w:val="0"/>
        <w:snapToGrid w:val="0"/>
        <w:spacing w:before="0" w:after="0" w:line="360" w:lineRule="auto"/>
        <w:jc w:val="center"/>
        <w:rPr>
          <w:rFonts w:hint="eastAsia" w:ascii="宋体" w:hAnsi="宋体" w:eastAsia="宋体" w:cs="宋体"/>
          <w:b w:val="0"/>
          <w:color w:val="000000"/>
          <w:sz w:val="24"/>
          <w:szCs w:val="24"/>
          <w:lang w:eastAsia="zh-CN"/>
        </w:rPr>
      </w:pPr>
    </w:p>
    <w:p>
      <w:pPr>
        <w:rPr>
          <w:rFonts w:hint="eastAsia"/>
          <w:lang w:eastAsia="zh-CN"/>
        </w:rPr>
      </w:pPr>
    </w:p>
    <w:p>
      <w:pPr>
        <w:snapToGrid w:val="0"/>
        <w:textAlignment w:val="baseline"/>
        <w:rPr>
          <w:rFonts w:ascii="宋体" w:hAnsi="宋体" w:cs="宋体"/>
          <w:b/>
          <w:color w:val="000000"/>
          <w:w w:val="80"/>
          <w:sz w:val="44"/>
          <w:szCs w:val="44"/>
        </w:rPr>
      </w:pPr>
      <w:r>
        <w:rPr>
          <w:rFonts w:hint="eastAsia" w:ascii="宋体" w:hAnsi="宋体" w:cs="宋体"/>
          <w:b/>
          <w:color w:val="000000"/>
          <w:w w:val="80"/>
          <w:sz w:val="44"/>
          <w:szCs w:val="44"/>
        </w:rPr>
        <w:br w:type="page"/>
      </w:r>
    </w:p>
    <w:p>
      <w:pPr>
        <w:snapToGrid w:val="0"/>
        <w:spacing w:line="360" w:lineRule="auto"/>
        <w:jc w:val="center"/>
        <w:textAlignment w:val="baseline"/>
        <w:rPr>
          <w:rFonts w:ascii="宋体" w:hAnsi="宋体" w:cs="宋体"/>
          <w:color w:val="000000"/>
          <w:sz w:val="24"/>
        </w:rPr>
      </w:pPr>
      <w:r>
        <w:rPr>
          <w:rFonts w:hint="eastAsia" w:ascii="宋体" w:hAnsi="宋体" w:cs="宋体"/>
          <w:b/>
          <w:color w:val="000000"/>
          <w:w w:val="80"/>
          <w:sz w:val="44"/>
          <w:szCs w:val="44"/>
        </w:rPr>
        <w:t>第七章 质疑提出和处理</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一、质疑的提出</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1、质疑人必须是直接参加本次磋商活动的当事人。</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2、下载磋商文件的供应商应根据第二章“磋商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napToGrid w:val="0"/>
        <w:spacing w:line="480" w:lineRule="exact"/>
        <w:ind w:firstLine="480" w:firstLineChars="200"/>
        <w:textAlignment w:val="baseline"/>
        <w:rPr>
          <w:rFonts w:ascii="宋体" w:hAnsi="宋体" w:cs="宋体"/>
          <w:sz w:val="24"/>
          <w:szCs w:val="24"/>
        </w:rPr>
      </w:pPr>
      <w:r>
        <w:rPr>
          <w:rFonts w:hint="eastAsia" w:ascii="宋体" w:hAnsi="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pPr>
        <w:snapToGrid w:val="0"/>
        <w:spacing w:line="480" w:lineRule="exact"/>
        <w:ind w:firstLine="480" w:firstLineChars="200"/>
        <w:textAlignment w:val="baseline"/>
        <w:rPr>
          <w:rFonts w:ascii="宋体" w:hAnsi="宋体" w:cs="宋体"/>
          <w:sz w:val="24"/>
          <w:szCs w:val="24"/>
        </w:rPr>
      </w:pPr>
      <w:r>
        <w:rPr>
          <w:rFonts w:hint="eastAsia" w:ascii="宋体" w:hAnsi="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480" w:lineRule="exact"/>
        <w:ind w:firstLine="600" w:firstLineChars="250"/>
        <w:textAlignment w:val="baseline"/>
        <w:rPr>
          <w:rFonts w:ascii="宋体" w:hAnsi="宋体" w:cs="宋体"/>
          <w:sz w:val="24"/>
          <w:szCs w:val="24"/>
        </w:rPr>
      </w:pPr>
      <w:r>
        <w:rPr>
          <w:rFonts w:hint="eastAsia" w:ascii="宋体" w:hAnsi="宋体" w:cs="宋体"/>
          <w:sz w:val="24"/>
          <w:szCs w:val="24"/>
        </w:rPr>
        <w:t>对不能提供相关佐证材料的、涉及商业秘密的、非书面形式的、非送达的、匿名的《质疑函》将不予受理。</w:t>
      </w:r>
    </w:p>
    <w:p>
      <w:pPr>
        <w:snapToGrid w:val="0"/>
        <w:spacing w:line="480" w:lineRule="exact"/>
        <w:ind w:firstLine="600" w:firstLineChars="250"/>
        <w:textAlignment w:val="baseline"/>
        <w:rPr>
          <w:rFonts w:ascii="宋体" w:hAnsi="宋体" w:cs="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snapToGrid w:val="0"/>
        <w:spacing w:line="480" w:lineRule="exact"/>
        <w:ind w:firstLine="600" w:firstLineChars="250"/>
        <w:textAlignment w:val="baseline"/>
        <w:rPr>
          <w:rFonts w:ascii="宋体" w:hAnsi="宋体" w:cs="宋体"/>
          <w:sz w:val="24"/>
          <w:szCs w:val="24"/>
        </w:rPr>
      </w:pPr>
      <w:r>
        <w:rPr>
          <w:rFonts w:hint="eastAsia" w:ascii="宋体" w:hAnsi="宋体" w:cs="宋体"/>
          <w:sz w:val="24"/>
          <w:szCs w:val="24"/>
        </w:rPr>
        <w:t>采购人或采购代理机构不负责搜集相关佐证材料等工作。</w:t>
      </w:r>
    </w:p>
    <w:p>
      <w:pPr>
        <w:snapToGrid w:val="0"/>
        <w:spacing w:line="480" w:lineRule="exact"/>
        <w:ind w:firstLine="480" w:firstLineChars="200"/>
        <w:textAlignment w:val="baseline"/>
        <w:rPr>
          <w:rFonts w:ascii="宋体" w:hAnsi="宋体" w:cs="宋体"/>
          <w:sz w:val="24"/>
          <w:szCs w:val="24"/>
        </w:rPr>
      </w:pPr>
      <w:r>
        <w:rPr>
          <w:rFonts w:hint="eastAsia" w:ascii="宋体" w:hAnsi="宋体" w:cs="宋体"/>
          <w:sz w:val="24"/>
          <w:szCs w:val="24"/>
        </w:rPr>
        <w:t>二、《质疑函》的受理和回复</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sz w:val="24"/>
          <w:szCs w:val="24"/>
        </w:rPr>
        <w:t>1、《质疑函》须由质疑人的法定代表人或参加本次磋商被授权人</w:t>
      </w:r>
      <w:r>
        <w:rPr>
          <w:rFonts w:hint="eastAsia" w:ascii="宋体" w:hAnsi="宋体" w:cs="宋体"/>
          <w:color w:val="000000"/>
          <w:sz w:val="24"/>
          <w:szCs w:val="24"/>
        </w:rPr>
        <w:t>送达采购人和采购代理机构。</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2、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3、对不符合提出质疑要求的，出具《质疑退回通知书》并提出相关补充材料要求，质疑人未在规定的时间内提供补充佐证材料的，视同放弃质疑。</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4、采购人、采购代理机构负责将质疑人提出的质疑相关材料提供给相关专家或评审小组审核，并将审核意见回复质疑人。</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5、因质疑情况复杂，组织论证或审查时间较长的，采购人、采购代理机构以书面形式通知质疑人，可适当延长质疑回复处理时间。</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三、质疑处理</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1、质疑成立的处理。采购人或采购代理机构终止采购，并建议有关部门给相关当事人予以处理。</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2、质疑不成立的处理。</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1）质疑人书面《申请撤回质疑函》的，不作违约处理。</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2）质疑人在规定的时间内不配合进行质疑调查处理的，按自动撤回《质疑函》处理。</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3）质疑人不按《质疑函》格式就提出质疑的，作违约处理。同时，视情列入不良供应商名单。</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4）质疑人虽提供了相关佐证材料，但不能证明其质疑成立的，采购人或采购代理机构请质疑人补充相关佐证材料，仍不能证明其质疑成立的，作违约处理。并将其列入不良供应商名单。</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5）质疑人不能提供相关佐证材料的，采购人、采购代理机构已指出，质疑人仍然坚持提出质疑的，作违约处理。同时，列入不良供应商名单。</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7）质疑人承担使用虚假材料或恶意方式质疑的法律责任。</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四、无佐证材料的举报作违约处理。供应商不得进行不提供相关佐证材料（含无法查实的如宣传册、媒体报道、猜测、推理等）向有关部门的举报，否则作违约处理。同时对其在1至3年内禁入由采购人组织的政府采购活动的违约处理。</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五、投诉不成立的作违约处理。供应商进行质疑后，采购人回复质疑不成立，供应商仍进行投诉的，并最终投诉不成立的，作违约处理。采购人有权对其在1至3年内禁入由采购人组织的政府采购活动的违约处理。</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六、《质疑函》、《质疑回复函》，质疑、举报、投诉不成立的等相关情况，视情在南通政府采购网、省、国家级等相关媒体予以披露。并建议相关政府采购机构对该供应商同步实施1至3年内禁入。</w:t>
      </w:r>
    </w:p>
    <w:p>
      <w:pPr>
        <w:snapToGrid w:val="0"/>
        <w:spacing w:line="48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七、质疑供应商对采购人或代理机构的答复不满意或者采购人或代理机构未在规定的时间内作出答复的，可以在答复期满后15个工作日内向政府采购监督管理部门投诉。</w:t>
      </w:r>
    </w:p>
    <w:p>
      <w:pPr>
        <w:pStyle w:val="5"/>
        <w:keepLines w:val="0"/>
        <w:snapToGrid w:val="0"/>
        <w:spacing w:before="0" w:after="156" w:line="520" w:lineRule="exact"/>
        <w:ind w:left="420"/>
        <w:jc w:val="center"/>
        <w:rPr>
          <w:rFonts w:hint="eastAsia" w:ascii="宋体" w:hAnsi="宋体" w:eastAsia="宋体" w:cs="宋体"/>
          <w:color w:val="000000"/>
          <w:w w:val="80"/>
          <w:sz w:val="24"/>
          <w:szCs w:val="24"/>
          <w:lang w:eastAsia="zh-CN"/>
        </w:rPr>
      </w:pPr>
      <w:bookmarkStart w:id="77" w:name="_Toc363573860"/>
    </w:p>
    <w:p>
      <w:pPr>
        <w:rPr>
          <w:rFonts w:hint="eastAsia"/>
          <w:lang w:eastAsia="zh-CN"/>
        </w:rPr>
      </w:pPr>
    </w:p>
    <w:p>
      <w:pPr>
        <w:snapToGrid w:val="0"/>
        <w:textAlignment w:val="baseline"/>
        <w:rPr>
          <w:rFonts w:ascii="宋体" w:hAnsi="宋体" w:cs="宋体"/>
          <w:color w:val="000000"/>
          <w:w w:val="80"/>
          <w:sz w:val="20"/>
          <w:szCs w:val="44"/>
        </w:rPr>
      </w:pPr>
      <w:r>
        <w:rPr>
          <w:rFonts w:hint="eastAsia" w:ascii="宋体" w:hAnsi="宋体" w:cs="宋体"/>
          <w:color w:val="000000"/>
          <w:w w:val="80"/>
          <w:szCs w:val="44"/>
        </w:rPr>
        <w:br w:type="page"/>
      </w:r>
    </w:p>
    <w:p>
      <w:pPr>
        <w:pStyle w:val="5"/>
        <w:keepLines w:val="0"/>
        <w:snapToGrid w:val="0"/>
        <w:spacing w:before="0" w:after="156" w:line="520" w:lineRule="exact"/>
        <w:ind w:left="420"/>
        <w:jc w:val="center"/>
        <w:rPr>
          <w:rFonts w:ascii="宋体" w:hAnsi="宋体" w:cs="宋体"/>
          <w:sz w:val="24"/>
          <w:szCs w:val="24"/>
        </w:rPr>
      </w:pPr>
      <w:r>
        <w:rPr>
          <w:rFonts w:hint="eastAsia" w:ascii="宋体" w:hAnsi="宋体" w:cs="宋体"/>
          <w:color w:val="000000"/>
          <w:w w:val="80"/>
          <w:kern w:val="2"/>
          <w:szCs w:val="44"/>
        </w:rPr>
        <w:t>第八章  响应文件组成及格式</w:t>
      </w:r>
      <w:bookmarkEnd w:id="77"/>
    </w:p>
    <w:p>
      <w:pPr>
        <w:widowControl/>
        <w:snapToGrid w:val="0"/>
        <w:spacing w:line="360" w:lineRule="auto"/>
        <w:ind w:firstLine="470" w:firstLineChars="196"/>
        <w:jc w:val="left"/>
        <w:textAlignment w:val="baseline"/>
        <w:rPr>
          <w:rFonts w:ascii="宋体" w:hAnsi="宋体"/>
          <w:b/>
          <w:sz w:val="24"/>
          <w:szCs w:val="24"/>
        </w:rPr>
      </w:pPr>
    </w:p>
    <w:p>
      <w:pPr>
        <w:widowControl/>
        <w:snapToGrid w:val="0"/>
        <w:spacing w:line="360" w:lineRule="auto"/>
        <w:ind w:firstLine="470" w:firstLineChars="196"/>
        <w:jc w:val="left"/>
        <w:textAlignment w:val="baseline"/>
        <w:rPr>
          <w:rFonts w:ascii="宋体" w:hAnsi="宋体"/>
          <w:b/>
          <w:sz w:val="24"/>
          <w:szCs w:val="24"/>
        </w:rPr>
      </w:pPr>
      <w:r>
        <w:rPr>
          <w:rFonts w:hint="eastAsia" w:ascii="宋体" w:hAnsi="宋体"/>
          <w:b/>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snapToGrid w:val="0"/>
        <w:spacing w:line="360" w:lineRule="auto"/>
        <w:ind w:firstLine="470" w:firstLineChars="196"/>
        <w:jc w:val="left"/>
        <w:textAlignment w:val="baseline"/>
        <w:rPr>
          <w:rFonts w:ascii="宋体" w:hAnsi="宋体"/>
          <w:b/>
          <w:color w:val="0000FF"/>
          <w:sz w:val="24"/>
          <w:szCs w:val="24"/>
        </w:rPr>
      </w:pPr>
      <w:r>
        <w:rPr>
          <w:rFonts w:hint="eastAsia" w:ascii="宋体" w:hAnsi="宋体"/>
          <w:b/>
          <w:sz w:val="24"/>
          <w:szCs w:val="24"/>
        </w:rPr>
        <w:t>一、资格审查文件</w:t>
      </w:r>
      <w:r>
        <w:rPr>
          <w:rFonts w:hint="eastAsia" w:ascii="宋体" w:hAnsi="宋体" w:cs="宋体"/>
          <w:b/>
          <w:color w:val="000000"/>
          <w:sz w:val="24"/>
          <w:szCs w:val="24"/>
          <w:lang w:val="zh-CN"/>
        </w:rPr>
        <w:t>（</w:t>
      </w:r>
      <w:r>
        <w:rPr>
          <w:rFonts w:hint="eastAsia" w:ascii="宋体" w:hAnsi="宋体" w:cs="宋体"/>
          <w:b/>
          <w:bCs/>
          <w:sz w:val="24"/>
          <w:szCs w:val="24"/>
        </w:rPr>
        <w:t>单独密封</w:t>
      </w:r>
      <w:r>
        <w:rPr>
          <w:rFonts w:hint="eastAsia" w:ascii="宋体" w:hAnsi="宋体" w:cs="宋体"/>
          <w:b/>
          <w:color w:val="000000"/>
          <w:sz w:val="24"/>
          <w:szCs w:val="24"/>
          <w:lang w:val="zh-CN"/>
        </w:rPr>
        <w:t>）</w:t>
      </w:r>
    </w:p>
    <w:p>
      <w:pPr>
        <w:widowControl/>
        <w:snapToGrid w:val="0"/>
        <w:spacing w:line="360" w:lineRule="auto"/>
        <w:ind w:firstLine="470" w:firstLineChars="196"/>
        <w:jc w:val="left"/>
        <w:textAlignment w:val="baseline"/>
        <w:rPr>
          <w:sz w:val="20"/>
        </w:rPr>
      </w:pPr>
      <w:r>
        <w:rPr>
          <w:rFonts w:hint="eastAsia" w:ascii="宋体" w:hAnsi="宋体" w:cs="宋体"/>
          <w:sz w:val="24"/>
          <w:szCs w:val="24"/>
        </w:rPr>
        <w:t>1、供应商必须是有能力按本磋商文件规定的要求提供货物及提供相关伴随服务能力的制造商或代理商，须提供有效的三证合一的企业法人营业执照复印件或扫描件。</w:t>
      </w:r>
      <w:r>
        <w:rPr>
          <w:rFonts w:hint="eastAsia" w:ascii="宋体" w:hAnsi="宋体" w:cs="宋体"/>
          <w:b/>
          <w:bCs/>
          <w:sz w:val="24"/>
          <w:szCs w:val="24"/>
        </w:rPr>
        <w:t>如为代理商参加磋商的，还须提供制造商的营业执照复印件或扫描件。</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pStyle w:val="2"/>
        <w:snapToGrid w:val="0"/>
        <w:spacing w:after="0" w:line="360" w:lineRule="auto"/>
        <w:ind w:firstLine="480"/>
        <w:textAlignment w:val="baseline"/>
        <w:rPr>
          <w:rFonts w:ascii="宋体" w:hAnsi="宋体" w:cs="宋体"/>
          <w:bCs/>
          <w:color w:val="000000"/>
          <w:szCs w:val="24"/>
        </w:rPr>
      </w:pPr>
      <w:r>
        <w:rPr>
          <w:rFonts w:hint="eastAsia" w:ascii="宋体" w:hAnsi="宋体" w:cs="宋体"/>
          <w:bCs/>
          <w:color w:val="000000"/>
          <w:szCs w:val="24"/>
        </w:rPr>
        <w:t>4、供应商一般情况表（格式参见第八章）；</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5、供应商上一年度的财务状况报告复印件或扫描件（成立不满一年不需提供）；</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6、</w:t>
      </w:r>
      <w:r>
        <w:rPr>
          <w:rFonts w:hint="eastAsia"/>
          <w:color w:val="000000"/>
          <w:sz w:val="24"/>
        </w:rPr>
        <w:t>供应商</w:t>
      </w:r>
      <w:r>
        <w:rPr>
          <w:color w:val="000000"/>
          <w:sz w:val="24"/>
        </w:rPr>
        <w:t>近</w:t>
      </w:r>
      <w:r>
        <w:rPr>
          <w:rFonts w:hint="eastAsia"/>
          <w:color w:val="000000"/>
          <w:sz w:val="24"/>
        </w:rPr>
        <w:t>六</w:t>
      </w:r>
      <w:r>
        <w:rPr>
          <w:color w:val="000000"/>
          <w:sz w:val="24"/>
        </w:rPr>
        <w:t>个月</w:t>
      </w:r>
      <w:r>
        <w:rPr>
          <w:rFonts w:hint="eastAsia"/>
          <w:color w:val="000000"/>
          <w:sz w:val="24"/>
        </w:rPr>
        <w:t>任意一个月</w:t>
      </w:r>
      <w:r>
        <w:rPr>
          <w:rFonts w:hint="eastAsia" w:ascii="宋体" w:hAnsi="宋体" w:cs="宋体"/>
          <w:color w:val="000000"/>
          <w:sz w:val="24"/>
          <w:szCs w:val="24"/>
        </w:rPr>
        <w:t>依法缴纳税收和社会保障资金的相关材料复印件或扫描件；</w:t>
      </w:r>
    </w:p>
    <w:p>
      <w:pPr>
        <w:pStyle w:val="2"/>
        <w:snapToGrid w:val="0"/>
        <w:spacing w:after="0" w:line="360" w:lineRule="auto"/>
        <w:textAlignment w:val="baseline"/>
        <w:rPr>
          <w:sz w:val="21"/>
        </w:rPr>
      </w:pPr>
      <w:r>
        <w:rPr>
          <w:rFonts w:hint="eastAsia" w:ascii="宋体" w:hAnsi="宋体" w:cs="宋体"/>
          <w:color w:val="000000"/>
          <w:sz w:val="21"/>
          <w:szCs w:val="24"/>
        </w:rPr>
        <w:t>7、供应商具有履行合同所必需的设备和专业技术能力的书面声明</w:t>
      </w:r>
      <w:r>
        <w:rPr>
          <w:rFonts w:hint="eastAsia" w:ascii="宋体" w:hAnsi="宋体" w:cs="宋体"/>
          <w:bCs/>
          <w:color w:val="000000"/>
          <w:sz w:val="21"/>
          <w:szCs w:val="24"/>
        </w:rPr>
        <w:t>（格式参见第八章）</w:t>
      </w:r>
      <w:r>
        <w:rPr>
          <w:rFonts w:hint="eastAsia" w:ascii="宋体" w:hAnsi="宋体" w:cs="宋体"/>
          <w:color w:val="000000"/>
          <w:sz w:val="21"/>
          <w:szCs w:val="24"/>
        </w:rPr>
        <w:t>；</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8、供应商须提供参与本次项目政府采购活动前三年内，在经营活动中没有重大违法记录的书面《无重大违法记录声明函》（格式参见竞争性磋商文件第八章）；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sz w:val="20"/>
        </w:rPr>
      </w:pPr>
      <w:r>
        <w:rPr>
          <w:rFonts w:hint="eastAsia" w:ascii="宋体" w:hAnsi="宋体" w:cs="宋体"/>
          <w:sz w:val="24"/>
          <w:szCs w:val="24"/>
        </w:rPr>
        <w:t>9、关于资格文件的声明函（格式参见竞争性磋商文件第八章）。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0"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2、企业实力评价；</w:t>
      </w:r>
    </w:p>
    <w:p>
      <w:pPr>
        <w:snapToGrid w:val="0"/>
        <w:spacing w:line="360" w:lineRule="auto"/>
        <w:ind w:firstLine="465"/>
        <w:jc w:val="left"/>
        <w:textAlignment w:val="baseline"/>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项目组人员能力；</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4、所投产品质量及技术要求；</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5、施工组织方案；</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6、售后服务响应；</w:t>
      </w:r>
    </w:p>
    <w:p>
      <w:pPr>
        <w:pStyle w:val="2"/>
        <w:snapToGrid w:val="0"/>
        <w:spacing w:after="0" w:line="360" w:lineRule="auto"/>
        <w:ind w:firstLine="480"/>
        <w:textAlignment w:val="baseline"/>
        <w:rPr>
          <w:rFonts w:ascii="宋体" w:hAnsi="宋体" w:cs="宋体"/>
          <w:szCs w:val="24"/>
        </w:rPr>
      </w:pPr>
      <w:r>
        <w:rPr>
          <w:rFonts w:hint="eastAsia" w:ascii="宋体" w:hAnsi="宋体" w:cs="宋体"/>
          <w:szCs w:val="24"/>
        </w:rPr>
        <w:t>7、评标办法和项目需求中所涉及的事项需提供的所有资料；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rPr>
        <w:t>8、评标办法和项目需求中未涉及的事项，供应商认为需要提交的其他资料。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snapToGrid w:val="0"/>
        <w:spacing w:line="360" w:lineRule="auto"/>
        <w:ind w:firstLine="480" w:firstLineChars="200"/>
        <w:jc w:val="left"/>
        <w:textAlignment w:val="baseline"/>
        <w:rPr>
          <w:rFonts w:ascii="宋体" w:hAnsi="宋体" w:cs="宋体"/>
          <w:b/>
          <w:color w:val="000000"/>
          <w:sz w:val="24"/>
          <w:szCs w:val="24"/>
          <w:lang w:val="zh-CN"/>
        </w:rPr>
      </w:pPr>
      <w:r>
        <w:rPr>
          <w:rFonts w:hint="eastAsia" w:ascii="宋体" w:hAnsi="宋体"/>
          <w:b/>
          <w:sz w:val="24"/>
          <w:szCs w:val="24"/>
          <w:lang w:val="zh-CN"/>
        </w:rPr>
        <w:t>三、</w:t>
      </w:r>
      <w:r>
        <w:rPr>
          <w:rFonts w:hint="eastAsia" w:ascii="宋体" w:hAnsi="宋体"/>
          <w:b/>
          <w:sz w:val="24"/>
          <w:szCs w:val="24"/>
        </w:rPr>
        <w:t>商务报价响应文件</w:t>
      </w:r>
      <w:r>
        <w:rPr>
          <w:rFonts w:hint="eastAsia" w:ascii="宋体" w:hAnsi="宋体"/>
          <w:b/>
          <w:sz w:val="24"/>
          <w:szCs w:val="24"/>
          <w:lang w:val="zh-CN"/>
        </w:rPr>
        <w:t>（</w:t>
      </w:r>
      <w:r>
        <w:rPr>
          <w:rFonts w:hint="eastAsia" w:ascii="宋体" w:hAnsi="宋体" w:cs="宋体"/>
          <w:b/>
          <w:bCs/>
          <w:sz w:val="24"/>
          <w:szCs w:val="24"/>
        </w:rPr>
        <w:t>单独密封</w:t>
      </w:r>
      <w:r>
        <w:rPr>
          <w:rFonts w:hint="eastAsia" w:ascii="宋体" w:hAnsi="宋体" w:cs="宋体"/>
          <w:b/>
          <w:color w:val="000000"/>
          <w:sz w:val="24"/>
          <w:szCs w:val="24"/>
          <w:lang w:val="zh-CN"/>
        </w:rPr>
        <w:t>）</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磋商响应</w:t>
      </w:r>
      <w:r>
        <w:rPr>
          <w:rFonts w:hint="eastAsia" w:ascii="宋体" w:hAnsi="宋体" w:cs="宋体"/>
          <w:bCs/>
          <w:color w:val="000000"/>
          <w:sz w:val="24"/>
          <w:szCs w:val="24"/>
        </w:rPr>
        <w:t>首次</w:t>
      </w:r>
      <w:r>
        <w:rPr>
          <w:rFonts w:hint="eastAsia" w:ascii="宋体" w:hAnsi="宋体" w:cs="宋体"/>
          <w:bCs/>
          <w:color w:val="000000"/>
          <w:sz w:val="24"/>
          <w:szCs w:val="24"/>
          <w:lang w:val="zh-CN"/>
        </w:rPr>
        <w:t>报价明细表；</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rPr>
        <w:t>3、</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snapToGrid w:val="0"/>
        <w:spacing w:line="360" w:lineRule="auto"/>
        <w:ind w:firstLine="480" w:firstLineChars="200"/>
        <w:textAlignment w:val="baseline"/>
        <w:rPr>
          <w:rFonts w:hint="eastAsia" w:ascii="宋体" w:hAnsi="宋体" w:eastAsia="宋体" w:cs="宋体"/>
          <w:sz w:val="24"/>
          <w:szCs w:val="24"/>
          <w:lang w:eastAsia="zh-CN"/>
        </w:rPr>
      </w:pPr>
    </w:p>
    <w:p>
      <w:pPr>
        <w:pStyle w:val="2"/>
        <w:rPr>
          <w:rFonts w:hint="eastAsia"/>
          <w:lang w:eastAsia="zh-CN"/>
        </w:rPr>
      </w:pPr>
    </w:p>
    <w:p>
      <w:pPr>
        <w:snapToGrid w:val="0"/>
        <w:spacing w:line="520" w:lineRule="exact"/>
        <w:textAlignment w:val="baseline"/>
        <w:rPr>
          <w:rFonts w:ascii="宋体" w:hAnsi="宋体" w:cs="宋体"/>
          <w:b/>
          <w:bCs/>
          <w:color w:val="000000"/>
          <w:sz w:val="24"/>
          <w:szCs w:val="24"/>
        </w:rPr>
      </w:pPr>
    </w:p>
    <w:p>
      <w:pPr>
        <w:snapToGrid w:val="0"/>
        <w:textAlignment w:val="baseline"/>
        <w:rPr>
          <w:rFonts w:ascii="宋体" w:hAnsi="宋体" w:cs="宋体"/>
          <w:b/>
          <w:color w:val="000000"/>
          <w:sz w:val="24"/>
          <w:szCs w:val="24"/>
        </w:rPr>
      </w:pPr>
      <w:r>
        <w:rPr>
          <w:rFonts w:hint="eastAsia" w:ascii="宋体" w:hAnsi="宋体" w:cs="宋体"/>
          <w:b/>
          <w:color w:val="000000"/>
          <w:sz w:val="24"/>
          <w:szCs w:val="24"/>
        </w:rPr>
        <w:br w:type="page"/>
      </w:r>
    </w:p>
    <w:p>
      <w:pPr>
        <w:snapToGrid w:val="0"/>
        <w:spacing w:line="520" w:lineRule="exact"/>
        <w:textAlignment w:val="baseline"/>
        <w:rPr>
          <w:rFonts w:ascii="宋体" w:hAnsi="宋体" w:cs="宋体"/>
          <w:b/>
          <w:color w:val="000000"/>
          <w:sz w:val="24"/>
        </w:rPr>
      </w:pPr>
      <w:r>
        <w:rPr>
          <w:rFonts w:hint="eastAsia" w:ascii="宋体" w:hAnsi="宋体" w:cs="宋体"/>
          <w:b/>
          <w:color w:val="000000"/>
          <w:sz w:val="24"/>
          <w:szCs w:val="24"/>
        </w:rPr>
        <w:t>附件：</w:t>
      </w:r>
    </w:p>
    <w:p>
      <w:pPr>
        <w:snapToGrid w:val="0"/>
        <w:spacing w:line="520" w:lineRule="exact"/>
        <w:ind w:firstLine="560" w:firstLineChars="200"/>
        <w:jc w:val="center"/>
        <w:textAlignment w:val="baselin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1、法定代表人身份证明</w:t>
      </w:r>
    </w:p>
    <w:p>
      <w:pPr>
        <w:snapToGrid w:val="0"/>
        <w:spacing w:line="520" w:lineRule="exact"/>
        <w:jc w:val="center"/>
        <w:textAlignment w:val="baseline"/>
        <w:rPr>
          <w:rFonts w:ascii="宋体" w:hAnsi="宋体" w:cs="宋体"/>
          <w:color w:val="000000"/>
          <w:sz w:val="24"/>
          <w:szCs w:val="24"/>
        </w:rPr>
      </w:pPr>
    </w:p>
    <w:p>
      <w:pPr>
        <w:snapToGrid w:val="0"/>
        <w:spacing w:line="360" w:lineRule="auto"/>
        <w:textAlignment w:val="baseline"/>
        <w:rPr>
          <w:rFonts w:ascii="宋体" w:hAnsi="宋体" w:cs="宋体"/>
          <w:sz w:val="24"/>
          <w:szCs w:val="24"/>
          <w:u w:val="single"/>
        </w:rPr>
      </w:pPr>
      <w:r>
        <w:rPr>
          <w:rFonts w:hint="eastAsia" w:ascii="宋体" w:hAnsi="宋体" w:cs="微软雅黑"/>
          <w:sz w:val="24"/>
          <w:szCs w:val="24"/>
          <w:u w:val="single" w:color="000000"/>
        </w:rPr>
        <w:t>南通市公安局崇川分局</w:t>
      </w:r>
      <w:r>
        <w:rPr>
          <w:rFonts w:hint="eastAsia" w:ascii="宋体" w:hAnsi="宋体" w:cs="宋体"/>
          <w:sz w:val="24"/>
          <w:szCs w:val="24"/>
          <w:u w:val="single" w:color="000000"/>
        </w:rPr>
        <w:t xml:space="preserve">： </w:t>
      </w:r>
    </w:p>
    <w:p>
      <w:pPr>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textAlignment w:val="baseline"/>
        <w:rPr>
          <w:rFonts w:hint="eastAsia" w:ascii="宋体" w:hAnsi="宋体" w:eastAsia="宋体" w:cs="宋体"/>
          <w:b/>
          <w:sz w:val="24"/>
          <w:szCs w:val="24"/>
          <w:lang w:eastAsia="zh-CN"/>
        </w:rPr>
      </w:pPr>
    </w:p>
    <w:p>
      <w:pPr>
        <w:pStyle w:val="2"/>
        <w:rPr>
          <w:rFonts w:hint="eastAsia"/>
          <w:lang w:eastAsia="zh-CN"/>
        </w:rPr>
      </w:pPr>
    </w:p>
    <w:p>
      <w:pPr>
        <w:snapToGrid w:val="0"/>
        <w:spacing w:line="520" w:lineRule="exact"/>
        <w:ind w:firstLine="560" w:firstLineChars="200"/>
        <w:jc w:val="center"/>
        <w:textAlignment w:val="baselin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2、授权委托书</w:t>
      </w:r>
    </w:p>
    <w:p>
      <w:pPr>
        <w:snapToGrid w:val="0"/>
        <w:spacing w:line="520" w:lineRule="exact"/>
        <w:jc w:val="center"/>
        <w:textAlignment w:val="baseline"/>
        <w:rPr>
          <w:rFonts w:ascii="宋体" w:hAnsi="宋体" w:cs="宋体"/>
          <w:bCs/>
          <w:color w:val="000000"/>
          <w:sz w:val="24"/>
          <w:szCs w:val="24"/>
        </w:rPr>
      </w:pPr>
      <w:r>
        <w:rPr>
          <w:rFonts w:hint="eastAsia" w:ascii="宋体" w:hAnsi="宋体" w:cs="宋体"/>
          <w:bCs/>
          <w:color w:val="000000"/>
          <w:sz w:val="24"/>
          <w:szCs w:val="24"/>
        </w:rPr>
        <w:t>（如被授权人参加磋商，须出示此证明）</w:t>
      </w:r>
    </w:p>
    <w:p>
      <w:pPr>
        <w:snapToGrid w:val="0"/>
        <w:spacing w:line="520" w:lineRule="exact"/>
        <w:jc w:val="center"/>
        <w:textAlignment w:val="baseline"/>
        <w:rPr>
          <w:rFonts w:ascii="宋体" w:hAnsi="宋体" w:cs="宋体"/>
          <w:bCs/>
          <w:color w:val="000000"/>
          <w:sz w:val="24"/>
          <w:szCs w:val="24"/>
        </w:rPr>
      </w:pPr>
    </w:p>
    <w:p>
      <w:pPr>
        <w:snapToGrid w:val="0"/>
        <w:spacing w:line="360" w:lineRule="auto"/>
        <w:textAlignment w:val="baseline"/>
        <w:rPr>
          <w:rFonts w:ascii="宋体" w:hAnsi="宋体" w:cs="宋体"/>
          <w:sz w:val="24"/>
          <w:szCs w:val="24"/>
          <w:u w:val="single"/>
        </w:rPr>
      </w:pPr>
      <w:r>
        <w:rPr>
          <w:rFonts w:hint="eastAsia" w:ascii="宋体" w:hAnsi="宋体" w:cs="微软雅黑"/>
          <w:sz w:val="24"/>
          <w:szCs w:val="24"/>
          <w:u w:val="single" w:color="000000"/>
        </w:rPr>
        <w:t>南通市公安局崇川分局</w:t>
      </w:r>
      <w:r>
        <w:rPr>
          <w:rFonts w:hint="eastAsia" w:ascii="宋体" w:hAnsi="宋体" w:cs="宋体"/>
          <w:sz w:val="24"/>
          <w:szCs w:val="24"/>
          <w:u w:val="single" w:color="000000"/>
        </w:rPr>
        <w:t>：</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19"/>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textAlignment w:val="baseline"/>
        <w:rPr>
          <w:rFonts w:ascii="宋体" w:hAnsi="宋体" w:cs="宋体"/>
          <w:b/>
          <w:color w:val="000000"/>
          <w:sz w:val="24"/>
          <w:szCs w:val="24"/>
        </w:rPr>
      </w:pPr>
    </w:p>
    <w:p>
      <w:pPr>
        <w:snapToGrid w:val="0"/>
        <w:textAlignment w:val="baseline"/>
        <w:rPr>
          <w:rFonts w:hint="eastAsia" w:ascii="宋体" w:hAnsi="宋体" w:eastAsia="宋体" w:cs="宋体"/>
          <w:b/>
          <w:color w:val="000000"/>
          <w:sz w:val="24"/>
          <w:szCs w:val="24"/>
          <w:lang w:eastAsia="zh-CN"/>
        </w:rPr>
      </w:pPr>
    </w:p>
    <w:p>
      <w:pPr>
        <w:pStyle w:val="2"/>
        <w:rPr>
          <w:rFonts w:hint="eastAsia"/>
          <w:lang w:eastAsia="zh-CN"/>
        </w:rPr>
      </w:pPr>
    </w:p>
    <w:p>
      <w:pPr>
        <w:snapToGrid w:val="0"/>
        <w:spacing w:line="520" w:lineRule="exact"/>
        <w:ind w:firstLine="560" w:firstLineChars="200"/>
        <w:jc w:val="center"/>
        <w:textAlignment w:val="baselin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tcPr>
          <w:p>
            <w:pPr>
              <w:snapToGrid w:val="0"/>
              <w:spacing w:line="520" w:lineRule="exact"/>
              <w:ind w:firstLine="484" w:firstLineChars="202"/>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tcPr>
          <w:p>
            <w:pPr>
              <w:snapToGrid w:val="0"/>
              <w:spacing w:line="520" w:lineRule="exact"/>
              <w:ind w:firstLine="484" w:firstLineChars="202"/>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tcPr>
          <w:p>
            <w:pPr>
              <w:snapToGrid w:val="0"/>
              <w:spacing w:line="520" w:lineRule="exact"/>
              <w:ind w:firstLine="484" w:firstLineChars="202"/>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napToGrid w:val="0"/>
              <w:spacing w:line="520" w:lineRule="exact"/>
              <w:textAlignment w:val="baseline"/>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tcPr>
          <w:p>
            <w:pPr>
              <w:snapToGrid w:val="0"/>
              <w:spacing w:line="520" w:lineRule="exact"/>
              <w:ind w:firstLine="484" w:firstLineChars="202"/>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tcPr>
          <w:p>
            <w:pPr>
              <w:snapToGrid w:val="0"/>
              <w:spacing w:line="520" w:lineRule="exact"/>
              <w:ind w:firstLine="484" w:firstLineChars="202"/>
              <w:textAlignment w:val="baseline"/>
              <w:rPr>
                <w:rFonts w:ascii="宋体" w:hAnsi="宋体" w:cs="宋体"/>
                <w:color w:val="000000"/>
                <w:sz w:val="24"/>
                <w:szCs w:val="24"/>
              </w:rPr>
            </w:pPr>
          </w:p>
        </w:tc>
        <w:tc>
          <w:tcPr>
            <w:tcW w:w="1875" w:type="dxa"/>
            <w:gridSpan w:val="2"/>
            <w:noWrap/>
          </w:tcPr>
          <w:p>
            <w:pPr>
              <w:snapToGrid w:val="0"/>
              <w:spacing w:line="520" w:lineRule="exact"/>
              <w:ind w:firstLine="484" w:firstLineChars="202"/>
              <w:textAlignment w:val="baseline"/>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tcPr>
          <w:p>
            <w:pPr>
              <w:snapToGrid w:val="0"/>
              <w:spacing w:line="520" w:lineRule="exact"/>
              <w:ind w:firstLine="484" w:firstLineChars="202"/>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tcPr>
          <w:p>
            <w:pPr>
              <w:snapToGrid w:val="0"/>
              <w:spacing w:line="520" w:lineRule="exact"/>
              <w:ind w:firstLine="484" w:firstLineChars="202"/>
              <w:textAlignment w:val="baseline"/>
              <w:rPr>
                <w:rFonts w:ascii="宋体" w:hAnsi="宋体" w:cs="宋体"/>
                <w:color w:val="000000"/>
                <w:sz w:val="24"/>
                <w:szCs w:val="24"/>
              </w:rPr>
            </w:pPr>
          </w:p>
        </w:tc>
        <w:tc>
          <w:tcPr>
            <w:tcW w:w="1875" w:type="dxa"/>
            <w:gridSpan w:val="2"/>
            <w:noWrap/>
          </w:tcPr>
          <w:p>
            <w:pPr>
              <w:snapToGrid w:val="0"/>
              <w:spacing w:line="520" w:lineRule="exact"/>
              <w:ind w:firstLine="484" w:firstLineChars="202"/>
              <w:textAlignment w:val="baseline"/>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tcPr>
          <w:p>
            <w:pPr>
              <w:snapToGrid w:val="0"/>
              <w:spacing w:line="520" w:lineRule="exact"/>
              <w:ind w:firstLine="484" w:firstLineChars="202"/>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tcPr>
          <w:p>
            <w:pPr>
              <w:snapToGrid w:val="0"/>
              <w:spacing w:line="520" w:lineRule="exact"/>
              <w:ind w:firstLine="484" w:firstLineChars="202"/>
              <w:textAlignment w:val="baseline"/>
              <w:rPr>
                <w:rFonts w:ascii="宋体" w:hAnsi="宋体" w:cs="宋体"/>
                <w:color w:val="000000"/>
                <w:sz w:val="24"/>
                <w:szCs w:val="24"/>
              </w:rPr>
            </w:pPr>
          </w:p>
        </w:tc>
        <w:tc>
          <w:tcPr>
            <w:tcW w:w="1875" w:type="dxa"/>
            <w:gridSpan w:val="2"/>
            <w:noWrap/>
          </w:tcPr>
          <w:p>
            <w:pPr>
              <w:snapToGrid w:val="0"/>
              <w:spacing w:line="520" w:lineRule="exact"/>
              <w:ind w:firstLine="484" w:firstLineChars="202"/>
              <w:textAlignment w:val="baseline"/>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tcPr>
          <w:p>
            <w:pPr>
              <w:snapToGrid w:val="0"/>
              <w:spacing w:line="520" w:lineRule="exact"/>
              <w:ind w:firstLine="484" w:firstLineChars="202"/>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tcPr>
          <w:p>
            <w:pPr>
              <w:snapToGrid w:val="0"/>
              <w:spacing w:line="520" w:lineRule="exact"/>
              <w:ind w:firstLine="484" w:firstLineChars="202"/>
              <w:textAlignment w:val="baseline"/>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napToGrid w:val="0"/>
              <w:spacing w:line="520" w:lineRule="exact"/>
              <w:ind w:firstLine="484" w:firstLineChars="202"/>
              <w:textAlignment w:val="baseline"/>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tcPr>
          <w:p>
            <w:pPr>
              <w:snapToGrid w:val="0"/>
              <w:spacing w:line="520" w:lineRule="exact"/>
              <w:ind w:firstLine="484" w:firstLineChars="202"/>
              <w:textAlignment w:val="baseline"/>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tcPr>
          <w:p>
            <w:pPr>
              <w:snapToGrid w:val="0"/>
              <w:spacing w:line="520" w:lineRule="exact"/>
              <w:ind w:firstLine="484" w:firstLineChars="202"/>
              <w:textAlignment w:val="baseline"/>
              <w:rPr>
                <w:rFonts w:ascii="宋体" w:hAnsi="宋体" w:cs="宋体"/>
                <w:color w:val="000000"/>
                <w:sz w:val="24"/>
                <w:szCs w:val="24"/>
              </w:rPr>
            </w:pPr>
          </w:p>
        </w:tc>
        <w:tc>
          <w:tcPr>
            <w:tcW w:w="1417" w:type="dxa"/>
            <w:gridSpan w:val="2"/>
            <w:noWrap/>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tcPr>
          <w:p>
            <w:pPr>
              <w:snapToGrid w:val="0"/>
              <w:spacing w:line="520" w:lineRule="exact"/>
              <w:ind w:firstLine="484" w:firstLineChars="202"/>
              <w:textAlignment w:val="baseline"/>
              <w:rPr>
                <w:rFonts w:ascii="宋体" w:hAnsi="宋体" w:cs="宋体"/>
                <w:color w:val="000000"/>
                <w:sz w:val="24"/>
                <w:szCs w:val="24"/>
              </w:rPr>
            </w:pPr>
          </w:p>
        </w:tc>
        <w:tc>
          <w:tcPr>
            <w:tcW w:w="1320" w:type="dxa"/>
            <w:noWrap/>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性别</w:t>
            </w:r>
          </w:p>
        </w:tc>
        <w:tc>
          <w:tcPr>
            <w:tcW w:w="1467" w:type="dxa"/>
            <w:noWrap/>
          </w:tcPr>
          <w:p>
            <w:pPr>
              <w:snapToGrid w:val="0"/>
              <w:spacing w:line="520" w:lineRule="exact"/>
              <w:ind w:firstLine="484" w:firstLineChars="202"/>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tcPr>
          <w:p>
            <w:pPr>
              <w:snapToGrid w:val="0"/>
              <w:spacing w:line="520" w:lineRule="exact"/>
              <w:ind w:firstLine="484" w:firstLineChars="202"/>
              <w:textAlignment w:val="baseline"/>
              <w:rPr>
                <w:rFonts w:ascii="宋体" w:hAnsi="宋体" w:cs="宋体"/>
                <w:color w:val="000000"/>
                <w:sz w:val="24"/>
                <w:szCs w:val="24"/>
              </w:rPr>
            </w:pPr>
          </w:p>
        </w:tc>
        <w:tc>
          <w:tcPr>
            <w:tcW w:w="1466" w:type="dxa"/>
            <w:gridSpan w:val="2"/>
            <w:noWrap/>
          </w:tcPr>
          <w:p>
            <w:pPr>
              <w:snapToGrid w:val="0"/>
              <w:spacing w:line="520" w:lineRule="exact"/>
              <w:textAlignment w:val="baseline"/>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tcPr>
          <w:p>
            <w:pPr>
              <w:snapToGrid w:val="0"/>
              <w:spacing w:line="520" w:lineRule="exact"/>
              <w:ind w:firstLine="484" w:firstLineChars="202"/>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营业执照载明：</w:t>
            </w:r>
          </w:p>
          <w:p>
            <w:pPr>
              <w:snapToGrid w:val="0"/>
              <w:spacing w:line="520" w:lineRule="exact"/>
              <w:ind w:firstLine="484" w:firstLineChars="202"/>
              <w:textAlignment w:val="baseline"/>
              <w:rPr>
                <w:rFonts w:ascii="宋体" w:hAnsi="宋体" w:cs="宋体"/>
                <w:color w:val="000000"/>
                <w:sz w:val="24"/>
                <w:szCs w:val="24"/>
              </w:rPr>
            </w:pPr>
            <w:r>
              <w:rPr>
                <w:rFonts w:ascii="宋体" w:hAnsi="宋体" w:cs="宋体"/>
                <w:color w:val="000000"/>
                <w:sz w:val="24"/>
                <w:szCs w:val="24"/>
              </w:rPr>
              <w:t xml:space="preserve">1.                                               </w:t>
            </w:r>
          </w:p>
          <w:p>
            <w:pPr>
              <w:snapToGrid w:val="0"/>
              <w:spacing w:line="520" w:lineRule="exact"/>
              <w:ind w:firstLine="484" w:firstLineChars="202"/>
              <w:textAlignment w:val="baseline"/>
              <w:rPr>
                <w:rFonts w:ascii="宋体" w:hAnsi="宋体" w:cs="宋体"/>
                <w:color w:val="000000"/>
                <w:sz w:val="24"/>
                <w:szCs w:val="24"/>
              </w:rPr>
            </w:pPr>
            <w:r>
              <w:rPr>
                <w:rFonts w:ascii="宋体" w:hAnsi="宋体" w:cs="宋体"/>
                <w:color w:val="000000"/>
                <w:sz w:val="24"/>
                <w:szCs w:val="24"/>
              </w:rPr>
              <w:t xml:space="preserve">2.                                               </w:t>
            </w:r>
          </w:p>
          <w:p>
            <w:pPr>
              <w:snapToGrid w:val="0"/>
              <w:spacing w:line="520" w:lineRule="exact"/>
              <w:ind w:firstLine="484" w:firstLineChars="202"/>
              <w:textAlignment w:val="baseline"/>
              <w:rPr>
                <w:rFonts w:ascii="宋体" w:hAnsi="宋体" w:cs="宋体"/>
                <w:color w:val="000000"/>
                <w:sz w:val="24"/>
                <w:szCs w:val="24"/>
              </w:rPr>
            </w:pPr>
            <w:r>
              <w:rPr>
                <w:rFonts w:ascii="宋体" w:hAnsi="宋体" w:cs="宋体"/>
                <w:color w:val="000000"/>
                <w:sz w:val="24"/>
                <w:szCs w:val="24"/>
              </w:rPr>
              <w:t xml:space="preserve">3.                                               </w:t>
            </w:r>
          </w:p>
          <w:p>
            <w:pPr>
              <w:snapToGrid w:val="0"/>
              <w:spacing w:line="520" w:lineRule="exact"/>
              <w:ind w:firstLine="484" w:firstLineChars="202"/>
              <w:textAlignment w:val="baseline"/>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ign w:val="center"/>
          </w:tcPr>
          <w:p>
            <w:pPr>
              <w:snapToGrid w:val="0"/>
              <w:spacing w:line="520" w:lineRule="exact"/>
              <w:textAlignment w:val="baseline"/>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tcPr>
          <w:p>
            <w:pPr>
              <w:snapToGrid w:val="0"/>
              <w:spacing w:line="520" w:lineRule="exact"/>
              <w:ind w:firstLine="484" w:firstLineChars="202"/>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ign w:val="center"/>
          </w:tcPr>
          <w:p>
            <w:pPr>
              <w:snapToGrid w:val="0"/>
              <w:spacing w:line="520" w:lineRule="exact"/>
              <w:ind w:firstLine="484" w:firstLineChars="202"/>
              <w:textAlignment w:val="baseline"/>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tcPr>
          <w:p>
            <w:pPr>
              <w:snapToGrid w:val="0"/>
              <w:spacing w:line="520" w:lineRule="exact"/>
              <w:ind w:firstLine="484" w:firstLineChars="202"/>
              <w:textAlignment w:val="baseline"/>
              <w:rPr>
                <w:rFonts w:ascii="宋体" w:hAnsi="宋体" w:cs="宋体"/>
                <w:color w:val="000000"/>
                <w:sz w:val="24"/>
                <w:szCs w:val="24"/>
              </w:rPr>
            </w:pPr>
          </w:p>
        </w:tc>
      </w:tr>
    </w:tbl>
    <w:p>
      <w:pPr>
        <w:snapToGrid w:val="0"/>
        <w:spacing w:line="360" w:lineRule="auto"/>
        <w:ind w:right="79"/>
        <w:textAlignment w:val="baseline"/>
        <w:rPr>
          <w:rFonts w:hint="eastAsia" w:ascii="宋体" w:hAnsi="宋体" w:cs="宋体"/>
          <w:color w:val="000000"/>
          <w:sz w:val="24"/>
          <w:szCs w:val="24"/>
        </w:rPr>
      </w:pPr>
    </w:p>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textAlignment w:val="baseline"/>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p>
    <w:p>
      <w:pPr>
        <w:snapToGrid w:val="0"/>
        <w:spacing w:line="360" w:lineRule="auto"/>
        <w:textAlignment w:val="baseline"/>
        <w:rPr>
          <w:rFonts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0" w:firstLineChars="200"/>
        <w:jc w:val="center"/>
        <w:textAlignment w:val="baseline"/>
        <w:rPr>
          <w:rFonts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napToGrid w:val="0"/>
        <w:spacing w:line="360" w:lineRule="auto"/>
        <w:textAlignment w:val="baseline"/>
        <w:rPr>
          <w:rFonts w:ascii="宋体" w:hAnsi="宋体"/>
          <w:color w:val="000000"/>
          <w:sz w:val="24"/>
          <w:szCs w:val="24"/>
        </w:rPr>
      </w:pPr>
    </w:p>
    <w:p>
      <w:pPr>
        <w:snapToGrid w:val="0"/>
        <w:spacing w:line="360" w:lineRule="auto"/>
        <w:textAlignment w:val="baseline"/>
        <w:rPr>
          <w:rFonts w:ascii="宋体" w:hAnsi="宋体"/>
          <w:color w:val="000000"/>
          <w:sz w:val="24"/>
          <w:szCs w:val="24"/>
        </w:rPr>
      </w:pPr>
      <w:r>
        <w:rPr>
          <w:rFonts w:hint="eastAsia" w:ascii="宋体" w:hAnsi="宋体" w:cs="微软雅黑"/>
          <w:sz w:val="24"/>
          <w:szCs w:val="24"/>
          <w:u w:val="single" w:color="000000"/>
        </w:rPr>
        <w:t>南通市公安局崇川分局</w:t>
      </w:r>
      <w:r>
        <w:rPr>
          <w:rFonts w:hint="eastAsia" w:ascii="宋体" w:hAnsi="宋体" w:cs="宋体"/>
          <w:sz w:val="24"/>
          <w:szCs w:val="24"/>
          <w:u w:val="single" w:color="000000"/>
        </w:rPr>
        <w:t xml:space="preserve">： </w:t>
      </w:r>
    </w:p>
    <w:p>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我单位（供应商名称）郑重声明：</w:t>
      </w:r>
    </w:p>
    <w:p>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napToGrid w:val="0"/>
        <w:spacing w:line="360" w:lineRule="auto"/>
        <w:ind w:firstLine="480" w:firstLineChars="200"/>
        <w:textAlignment w:val="baseline"/>
        <w:rPr>
          <w:rFonts w:ascii="宋体" w:hAnsi="宋体"/>
          <w:color w:val="000000"/>
          <w:sz w:val="24"/>
          <w:szCs w:val="24"/>
        </w:rPr>
      </w:pPr>
    </w:p>
    <w:p>
      <w:pPr>
        <w:snapToGrid w:val="0"/>
        <w:spacing w:line="360" w:lineRule="auto"/>
        <w:ind w:firstLine="480" w:firstLineChars="200"/>
        <w:textAlignment w:val="baseline"/>
        <w:rPr>
          <w:rFonts w:ascii="宋体" w:hAnsi="宋体"/>
          <w:color w:val="000000"/>
          <w:sz w:val="24"/>
          <w:szCs w:val="24"/>
        </w:rPr>
      </w:pPr>
    </w:p>
    <w:p>
      <w:pPr>
        <w:snapToGrid w:val="0"/>
        <w:spacing w:line="360" w:lineRule="auto"/>
        <w:ind w:firstLine="480" w:firstLineChars="200"/>
        <w:textAlignment w:val="baseline"/>
        <w:rPr>
          <w:rFonts w:ascii="宋体" w:hAnsi="宋体"/>
          <w:color w:val="000000"/>
          <w:sz w:val="24"/>
          <w:szCs w:val="24"/>
        </w:rPr>
      </w:pPr>
    </w:p>
    <w:p>
      <w:pPr>
        <w:snapToGrid w:val="0"/>
        <w:spacing w:line="360" w:lineRule="auto"/>
        <w:ind w:firstLine="5280" w:firstLineChars="2200"/>
        <w:textAlignment w:val="baseline"/>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ascii="宋体" w:hAnsi="宋体"/>
          <w:color w:val="000000"/>
          <w:sz w:val="24"/>
          <w:szCs w:val="24"/>
          <w:lang w:val="zh-CN"/>
        </w:rPr>
      </w:pPr>
      <w:r>
        <w:rPr>
          <w:rFonts w:hint="eastAsia" w:ascii="宋体" w:hAnsi="宋体"/>
          <w:color w:val="000000"/>
          <w:sz w:val="24"/>
          <w:szCs w:val="24"/>
          <w:lang w:val="en-US" w:eastAsia="zh-CN"/>
        </w:rPr>
        <w:t xml:space="preserve">                                  </w:t>
      </w:r>
      <w:r>
        <w:rPr>
          <w:rFonts w:hint="eastAsia" w:ascii="宋体" w:hAnsi="宋体"/>
          <w:color w:val="000000"/>
          <w:sz w:val="24"/>
          <w:szCs w:val="24"/>
          <w:lang w:val="zh-CN"/>
        </w:rPr>
        <w:t>日期：</w:t>
      </w:r>
      <w:r>
        <w:rPr>
          <w:rFonts w:hint="eastAsia" w:ascii="宋体" w:hAnsi="宋体"/>
          <w:color w:val="000000"/>
          <w:sz w:val="24"/>
          <w:szCs w:val="24"/>
          <w:lang w:val="en-US" w:eastAsia="zh-CN"/>
        </w:rPr>
        <w:t xml:space="preserve">   </w:t>
      </w:r>
      <w:r>
        <w:rPr>
          <w:rFonts w:hint="eastAsia" w:ascii="宋体" w:hAnsi="宋体"/>
          <w:color w:val="000000"/>
          <w:sz w:val="24"/>
          <w:szCs w:val="24"/>
          <w:lang w:val="zh-CN"/>
        </w:rPr>
        <w:t>年</w:t>
      </w:r>
      <w:r>
        <w:rPr>
          <w:rFonts w:hint="eastAsia" w:ascii="宋体" w:hAnsi="宋体"/>
          <w:color w:val="000000"/>
          <w:sz w:val="24"/>
          <w:szCs w:val="24"/>
          <w:lang w:val="en-US" w:eastAsia="zh-CN"/>
        </w:rPr>
        <w:t xml:space="preserve">    </w:t>
      </w:r>
      <w:r>
        <w:rPr>
          <w:rFonts w:hint="eastAsia" w:ascii="宋体" w:hAnsi="宋体"/>
          <w:color w:val="000000"/>
          <w:sz w:val="24"/>
          <w:szCs w:val="24"/>
          <w:lang w:val="zh-CN"/>
        </w:rPr>
        <w:t>月</w:t>
      </w:r>
      <w:r>
        <w:rPr>
          <w:rFonts w:hint="eastAsia" w:ascii="宋体" w:hAnsi="宋体"/>
          <w:color w:val="000000"/>
          <w:sz w:val="24"/>
          <w:szCs w:val="24"/>
          <w:lang w:val="en-US" w:eastAsia="zh-CN"/>
        </w:rPr>
        <w:t xml:space="preserve">    </w:t>
      </w:r>
      <w:r>
        <w:rPr>
          <w:rFonts w:hint="eastAsia" w:ascii="宋体" w:hAnsi="宋体"/>
          <w:color w:val="000000"/>
          <w:sz w:val="24"/>
          <w:szCs w:val="24"/>
          <w:lang w:val="zh-CN"/>
        </w:rPr>
        <w:t>日</w:t>
      </w:r>
    </w:p>
    <w:p>
      <w:pPr>
        <w:snapToGrid w:val="0"/>
        <w:textAlignment w:val="baseline"/>
        <w:rPr>
          <w:rFonts w:ascii="宋体" w:hAnsi="宋体"/>
          <w:color w:val="000000"/>
          <w:sz w:val="24"/>
          <w:szCs w:val="24"/>
          <w:lang w:val="zh-CN"/>
        </w:rPr>
      </w:pPr>
      <w:r>
        <w:rPr>
          <w:rFonts w:hint="eastAsia" w:ascii="宋体" w:hAnsi="宋体"/>
          <w:color w:val="000000"/>
          <w:sz w:val="24"/>
          <w:szCs w:val="24"/>
          <w:lang w:val="zh-CN"/>
        </w:rPr>
        <w:br w:type="page"/>
      </w:r>
    </w:p>
    <w:p>
      <w:pPr>
        <w:pStyle w:val="2"/>
        <w:snapToGrid w:val="0"/>
        <w:textAlignment w:val="baseline"/>
        <w:rPr>
          <w:sz w:val="21"/>
        </w:rPr>
      </w:pPr>
    </w:p>
    <w:p>
      <w:pPr>
        <w:snapToGrid w:val="0"/>
        <w:textAlignment w:val="baseline"/>
        <w:rPr>
          <w:rFonts w:ascii="宋体" w:hAnsi="宋体" w:cs="宋体"/>
          <w:b/>
          <w:color w:val="000000"/>
          <w:sz w:val="24"/>
          <w:szCs w:val="24"/>
        </w:rPr>
      </w:pPr>
    </w:p>
    <w:p>
      <w:pPr>
        <w:snapToGrid w:val="0"/>
        <w:spacing w:line="520" w:lineRule="exact"/>
        <w:ind w:firstLine="560" w:firstLineChars="200"/>
        <w:jc w:val="center"/>
        <w:textAlignment w:val="baselin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5、无重大违法记录声明函</w:t>
      </w:r>
    </w:p>
    <w:p>
      <w:pPr>
        <w:snapToGrid w:val="0"/>
        <w:spacing w:line="360" w:lineRule="auto"/>
        <w:textAlignment w:val="baseline"/>
        <w:rPr>
          <w:rFonts w:ascii="宋体" w:hAnsi="宋体" w:cs="微软雅黑"/>
          <w:sz w:val="24"/>
          <w:szCs w:val="24"/>
          <w:u w:val="single"/>
        </w:rPr>
      </w:pPr>
    </w:p>
    <w:p>
      <w:pPr>
        <w:snapToGrid w:val="0"/>
        <w:spacing w:line="360" w:lineRule="auto"/>
        <w:textAlignment w:val="baseline"/>
        <w:rPr>
          <w:rFonts w:ascii="宋体" w:hAnsi="宋体"/>
          <w:bCs/>
          <w:sz w:val="24"/>
          <w:szCs w:val="24"/>
          <w:u w:val="single"/>
        </w:rPr>
      </w:pPr>
      <w:r>
        <w:rPr>
          <w:rFonts w:hint="eastAsia" w:ascii="宋体" w:hAnsi="宋体" w:cs="微软雅黑"/>
          <w:sz w:val="24"/>
          <w:szCs w:val="24"/>
          <w:u w:val="single" w:color="000000"/>
        </w:rPr>
        <w:t>南通市公安局崇川分局</w:t>
      </w:r>
      <w:r>
        <w:rPr>
          <w:rFonts w:hint="eastAsia" w:ascii="宋体" w:hAnsi="宋体" w:cs="宋体"/>
          <w:sz w:val="24"/>
          <w:szCs w:val="24"/>
          <w:u w:val="single" w:color="000000"/>
        </w:rPr>
        <w:t>：</w:t>
      </w:r>
    </w:p>
    <w:p>
      <w:pPr>
        <w:snapToGrid w:val="0"/>
        <w:spacing w:line="560" w:lineRule="exact"/>
        <w:textAlignment w:val="baseline"/>
        <w:rPr>
          <w:rFonts w:ascii="宋体" w:hAnsi="宋体"/>
          <w:color w:val="000000"/>
          <w:sz w:val="24"/>
          <w:szCs w:val="24"/>
        </w:rPr>
      </w:pPr>
      <w:r>
        <w:rPr>
          <w:rFonts w:hint="eastAsia" w:ascii="宋体" w:hAnsi="宋体"/>
          <w:color w:val="000000"/>
          <w:sz w:val="24"/>
          <w:szCs w:val="24"/>
        </w:rPr>
        <w:t xml:space="preserve">    我单位（供应商名称）郑重声明：</w:t>
      </w:r>
    </w:p>
    <w:p>
      <w:pPr>
        <w:snapToGrid w:val="0"/>
        <w:spacing w:line="560" w:lineRule="exact"/>
        <w:textAlignment w:val="baseline"/>
        <w:rPr>
          <w:rFonts w:ascii="宋体" w:hAnsi="宋体"/>
          <w:color w:val="000000"/>
          <w:sz w:val="24"/>
          <w:szCs w:val="24"/>
        </w:rPr>
      </w:pPr>
      <w:r>
        <w:rPr>
          <w:rFonts w:hint="eastAsia" w:ascii="宋体" w:hAnsi="宋体"/>
          <w:color w:val="000000"/>
          <w:sz w:val="24"/>
          <w:szCs w:val="24"/>
        </w:rPr>
        <w:t xml:space="preserve">    参加政府采购活动前3年内在经营活动中</w:t>
      </w:r>
      <w:r>
        <w:rPr>
          <w:rFonts w:hint="eastAsia" w:ascii="宋体" w:hAnsi="宋体" w:cs="宋体"/>
          <w:color w:val="000000"/>
          <w:sz w:val="24"/>
          <w:szCs w:val="24"/>
          <w:u w:val="single" w:color="000000"/>
        </w:rPr>
        <w:t xml:space="preserve">     　　　   </w:t>
      </w:r>
      <w:r>
        <w:rPr>
          <w:rFonts w:hint="eastAsia" w:ascii="宋体" w:hAnsi="宋体"/>
          <w:color w:val="000000"/>
          <w:sz w:val="24"/>
          <w:szCs w:val="24"/>
        </w:rPr>
        <w:t>（在下划线上如实填写：有或没有）重大违法记录。</w:t>
      </w:r>
    </w:p>
    <w:p>
      <w:pPr>
        <w:snapToGrid w:val="0"/>
        <w:spacing w:line="560" w:lineRule="exact"/>
        <w:ind w:firstLine="480"/>
        <w:textAlignment w:val="baseline"/>
        <w:rPr>
          <w:rFonts w:ascii="宋体" w:hAnsi="宋体"/>
          <w:color w:val="000000"/>
          <w:sz w:val="24"/>
          <w:szCs w:val="24"/>
        </w:rPr>
      </w:pPr>
      <w:r>
        <w:rPr>
          <w:rFonts w:hint="eastAsia" w:ascii="宋体" w:hAnsi="宋体"/>
          <w:color w:val="000000"/>
          <w:sz w:val="24"/>
          <w:szCs w:val="24"/>
        </w:rPr>
        <w:t>（说明：政府采购法第二十二条第一款第五项所称重大违法记录，是指供应商因违法经营受到刑事处罚或者责令停产停业、吊销许可证或者执照、较大数额罚款等行政处罚。）</w:t>
      </w:r>
    </w:p>
    <w:p>
      <w:pPr>
        <w:snapToGrid w:val="0"/>
        <w:spacing w:line="420" w:lineRule="exact"/>
        <w:textAlignment w:val="baseline"/>
        <w:rPr>
          <w:rFonts w:ascii="宋体" w:hAnsi="宋体"/>
          <w:color w:val="000000"/>
          <w:sz w:val="24"/>
          <w:szCs w:val="24"/>
        </w:rPr>
      </w:pPr>
    </w:p>
    <w:p>
      <w:pPr>
        <w:pStyle w:val="19"/>
        <w:snapToGrid w:val="0"/>
        <w:textAlignment w:val="baseline"/>
      </w:pPr>
    </w:p>
    <w:p>
      <w:pPr>
        <w:snapToGrid w:val="0"/>
        <w:spacing w:line="420" w:lineRule="exact"/>
        <w:ind w:firstLine="4800" w:firstLineChars="2000"/>
        <w:textAlignment w:val="baseline"/>
        <w:rPr>
          <w:rFonts w:ascii="宋体" w:hAnsi="宋体" w:cs="宋体"/>
          <w:color w:val="000000"/>
          <w:sz w:val="24"/>
          <w:szCs w:val="24"/>
          <w:u w:val="single" w:color="000000"/>
        </w:rPr>
      </w:pPr>
      <w:r>
        <w:rPr>
          <w:rFonts w:hint="eastAsia" w:ascii="宋体" w:hAnsi="宋体"/>
          <w:color w:val="000000"/>
          <w:sz w:val="24"/>
          <w:szCs w:val="24"/>
        </w:rPr>
        <w:t>声明人：（公章）</w:t>
      </w:r>
      <w:r>
        <w:rPr>
          <w:rFonts w:hint="eastAsia" w:ascii="宋体" w:hAnsi="宋体" w:cs="宋体"/>
          <w:color w:val="000000"/>
          <w:sz w:val="24"/>
          <w:szCs w:val="24"/>
          <w:u w:val="single" w:color="000000"/>
        </w:rPr>
        <w:t xml:space="preserve">     　　　     　　</w:t>
      </w:r>
    </w:p>
    <w:p>
      <w:pPr>
        <w:snapToGrid w:val="0"/>
        <w:spacing w:line="420" w:lineRule="exact"/>
        <w:ind w:firstLine="4800" w:firstLineChars="2000"/>
        <w:textAlignment w:val="baseline"/>
        <w:rPr>
          <w:rFonts w:ascii="宋体" w:hAnsi="宋体"/>
          <w:color w:val="000000"/>
          <w:sz w:val="24"/>
          <w:szCs w:val="24"/>
        </w:rPr>
      </w:pPr>
    </w:p>
    <w:p>
      <w:pPr>
        <w:snapToGrid w:val="0"/>
        <w:spacing w:line="420" w:lineRule="exact"/>
        <w:jc w:val="right"/>
        <w:textAlignment w:val="baseline"/>
        <w:rPr>
          <w:rFonts w:ascii="宋体" w:hAnsi="宋体"/>
          <w:color w:val="000000"/>
          <w:sz w:val="24"/>
          <w:szCs w:val="24"/>
        </w:rPr>
      </w:pPr>
      <w:r>
        <w:rPr>
          <w:rFonts w:hint="eastAsia" w:ascii="宋体" w:hAnsi="宋体"/>
          <w:color w:val="000000"/>
          <w:sz w:val="24"/>
          <w:szCs w:val="24"/>
        </w:rPr>
        <w:t>年     月    日</w:t>
      </w:r>
    </w:p>
    <w:p>
      <w:pPr>
        <w:snapToGrid w:val="0"/>
        <w:spacing w:line="360" w:lineRule="auto"/>
        <w:jc w:val="center"/>
        <w:textAlignment w:val="baseline"/>
        <w:rPr>
          <w:rFonts w:hint="eastAsia" w:ascii="宋体" w:hAnsi="宋体" w:eastAsia="宋体" w:cs="宋体"/>
          <w:b/>
          <w:color w:val="000000"/>
          <w:sz w:val="24"/>
          <w:szCs w:val="24"/>
          <w:lang w:eastAsia="zh-CN"/>
        </w:rPr>
      </w:pPr>
    </w:p>
    <w:p>
      <w:pPr>
        <w:pStyle w:val="2"/>
        <w:rPr>
          <w:rFonts w:hint="eastAsia"/>
          <w:lang w:eastAsia="zh-CN"/>
        </w:rPr>
      </w:pPr>
    </w:p>
    <w:p>
      <w:pPr>
        <w:snapToGrid w:val="0"/>
        <w:spacing w:line="360" w:lineRule="auto"/>
        <w:jc w:val="center"/>
        <w:textAlignment w:val="baseline"/>
        <w:rPr>
          <w:rFonts w:ascii="宋体" w:hAnsi="宋体" w:cs="宋体"/>
          <w:b/>
          <w:color w:val="000000"/>
          <w:sz w:val="24"/>
          <w:szCs w:val="24"/>
        </w:rPr>
      </w:pPr>
    </w:p>
    <w:p>
      <w:pPr>
        <w:snapToGrid w:val="0"/>
        <w:textAlignment w:val="baseline"/>
        <w:rPr>
          <w:rFonts w:ascii="宋体" w:hAnsi="宋体" w:cs="宋体"/>
          <w:b/>
          <w:color w:val="000000"/>
          <w:sz w:val="24"/>
          <w:szCs w:val="24"/>
        </w:rPr>
      </w:pPr>
      <w:r>
        <w:rPr>
          <w:rFonts w:hint="eastAsia" w:ascii="宋体" w:hAnsi="宋体" w:cs="宋体"/>
          <w:b/>
          <w:color w:val="000000"/>
          <w:sz w:val="24"/>
          <w:szCs w:val="24"/>
        </w:rPr>
        <w:br w:type="page"/>
      </w:r>
    </w:p>
    <w:p>
      <w:pPr>
        <w:snapToGrid w:val="0"/>
        <w:spacing w:line="360" w:lineRule="auto"/>
        <w:jc w:val="center"/>
        <w:textAlignment w:val="baseline"/>
        <w:rPr>
          <w:rFonts w:ascii="宋体" w:hAnsi="宋体" w:cs="宋体"/>
          <w:b/>
          <w:color w:val="000000"/>
          <w:sz w:val="24"/>
          <w:szCs w:val="24"/>
        </w:rPr>
      </w:pPr>
    </w:p>
    <w:p>
      <w:pPr>
        <w:snapToGrid w:val="0"/>
        <w:spacing w:line="520" w:lineRule="exact"/>
        <w:ind w:firstLine="560" w:firstLineChars="200"/>
        <w:jc w:val="center"/>
        <w:textAlignment w:val="baselin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6、关于资格文件的声明函</w:t>
      </w:r>
    </w:p>
    <w:p>
      <w:pPr>
        <w:snapToGrid w:val="0"/>
        <w:spacing w:line="360" w:lineRule="auto"/>
        <w:textAlignment w:val="baseline"/>
        <w:rPr>
          <w:rFonts w:ascii="宋体" w:hAnsi="宋体" w:cs="宋体"/>
          <w:sz w:val="24"/>
          <w:szCs w:val="24"/>
          <w:u w:val="single"/>
        </w:rPr>
      </w:pPr>
    </w:p>
    <w:p>
      <w:pPr>
        <w:snapToGrid w:val="0"/>
        <w:spacing w:line="360" w:lineRule="auto"/>
        <w:textAlignment w:val="baseline"/>
        <w:rPr>
          <w:rFonts w:ascii="宋体" w:hAnsi="宋体" w:cs="宋体"/>
          <w:sz w:val="24"/>
          <w:szCs w:val="24"/>
          <w:u w:val="single"/>
        </w:rPr>
      </w:pPr>
    </w:p>
    <w:p>
      <w:pPr>
        <w:snapToGrid w:val="0"/>
        <w:spacing w:line="360" w:lineRule="auto"/>
        <w:textAlignment w:val="baseline"/>
        <w:rPr>
          <w:rFonts w:ascii="宋体" w:hAnsi="宋体"/>
          <w:bCs/>
          <w:sz w:val="24"/>
          <w:szCs w:val="24"/>
          <w:u w:val="single"/>
        </w:rPr>
      </w:pPr>
      <w:r>
        <w:rPr>
          <w:rFonts w:hint="eastAsia" w:ascii="宋体" w:hAnsi="宋体" w:cs="微软雅黑"/>
          <w:sz w:val="24"/>
          <w:szCs w:val="24"/>
          <w:u w:val="single" w:color="000000"/>
        </w:rPr>
        <w:t>南通市公安局崇川分局</w:t>
      </w:r>
      <w:r>
        <w:rPr>
          <w:rFonts w:hint="eastAsia" w:ascii="宋体" w:hAnsi="宋体" w:cs="宋体"/>
          <w:sz w:val="24"/>
          <w:szCs w:val="24"/>
          <w:u w:val="single" w:color="000000"/>
        </w:rPr>
        <w:t>：</w:t>
      </w:r>
    </w:p>
    <w:p>
      <w:pPr>
        <w:snapToGrid w:val="0"/>
        <w:spacing w:line="360" w:lineRule="auto"/>
        <w:ind w:firstLine="660"/>
        <w:jc w:val="left"/>
        <w:textAlignment w:val="baseline"/>
        <w:rPr>
          <w:rFonts w:ascii="宋体" w:hAnsi="宋体"/>
          <w:sz w:val="24"/>
          <w:szCs w:val="24"/>
        </w:rPr>
      </w:pPr>
      <w:r>
        <w:rPr>
          <w:rFonts w:hint="eastAsia" w:ascii="宋体" w:hAnsi="宋体"/>
          <w:sz w:val="24"/>
          <w:szCs w:val="24"/>
        </w:rPr>
        <w:t>本公司愿就由贵单位组织实施的</w:t>
      </w:r>
      <w:r>
        <w:rPr>
          <w:rFonts w:hint="eastAsia" w:ascii="宋体" w:hAnsi="宋体" w:cs="宋体"/>
          <w:color w:val="000000"/>
          <w:sz w:val="24"/>
          <w:szCs w:val="24"/>
          <w:u w:val="single" w:color="000000"/>
        </w:rPr>
        <w:t xml:space="preserve">     　　　        　　　   </w:t>
      </w:r>
      <w:r>
        <w:rPr>
          <w:rFonts w:hint="eastAsia" w:ascii="宋体" w:hAnsi="宋体"/>
          <w:sz w:val="24"/>
          <w:szCs w:val="24"/>
        </w:rPr>
        <w:t>（</w:t>
      </w:r>
      <w:r>
        <w:rPr>
          <w:rFonts w:hint="eastAsia" w:ascii="宋体" w:hAnsi="宋体" w:cs="宋体"/>
          <w:sz w:val="24"/>
          <w:szCs w:val="24"/>
        </w:rPr>
        <w:t>项目名称及项目编号</w:t>
      </w:r>
      <w:r>
        <w:rPr>
          <w:rFonts w:hint="eastAsia" w:ascii="宋体" w:hAnsi="宋体"/>
          <w:sz w:val="24"/>
          <w:szCs w:val="24"/>
        </w:rPr>
        <w:t>)的活动参与磋商</w:t>
      </w:r>
      <w:r>
        <w:rPr>
          <w:rFonts w:hint="eastAsia" w:ascii="宋体" w:hAnsi="宋体" w:cs="宋体"/>
          <w:sz w:val="24"/>
          <w:szCs w:val="24"/>
        </w:rPr>
        <w:t>。本公司所提交的磋商文件中所有关于资格的文件、证明和陈述均是真实的、准确的。若与真实情况不符，本公司愿意承担由此而产生的一切后果</w:t>
      </w:r>
      <w:r>
        <w:rPr>
          <w:rFonts w:hint="eastAsia" w:ascii="宋体" w:hAnsi="宋体"/>
          <w:sz w:val="24"/>
          <w:szCs w:val="24"/>
        </w:rPr>
        <w:t>。</w:t>
      </w:r>
    </w:p>
    <w:p>
      <w:pPr>
        <w:snapToGrid w:val="0"/>
        <w:spacing w:line="360" w:lineRule="auto"/>
        <w:ind w:firstLine="420"/>
        <w:jc w:val="left"/>
        <w:textAlignment w:val="baseline"/>
        <w:rPr>
          <w:rFonts w:ascii="宋体" w:hAnsi="宋体"/>
          <w:sz w:val="24"/>
          <w:szCs w:val="24"/>
        </w:rPr>
      </w:pPr>
    </w:p>
    <w:p>
      <w:pPr>
        <w:snapToGrid w:val="0"/>
        <w:spacing w:line="360" w:lineRule="auto"/>
        <w:ind w:firstLine="420"/>
        <w:jc w:val="left"/>
        <w:textAlignment w:val="baseline"/>
        <w:rPr>
          <w:rFonts w:ascii="宋体" w:hAnsi="宋体"/>
          <w:sz w:val="24"/>
          <w:szCs w:val="24"/>
        </w:rPr>
      </w:pP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520" w:lineRule="exact"/>
        <w:ind w:firstLine="2400" w:firstLineChars="1000"/>
        <w:jc w:val="right"/>
        <w:textAlignment w:val="baseline"/>
        <w:rPr>
          <w:rFonts w:ascii="宋体" w:hAnsi="宋体" w:cs="宋体"/>
          <w:color w:val="000000"/>
          <w:sz w:val="24"/>
          <w:szCs w:val="24"/>
        </w:rPr>
      </w:pPr>
      <w:r>
        <w:rPr>
          <w:rFonts w:hint="eastAsia" w:ascii="宋体" w:hAnsi="宋体" w:cs="宋体"/>
          <w:color w:val="000000"/>
          <w:sz w:val="24"/>
          <w:szCs w:val="24"/>
        </w:rPr>
        <w:t>法定代表人或被授权人：（签字或盖章）</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年      月     日</w:t>
      </w:r>
    </w:p>
    <w:p>
      <w:pPr>
        <w:snapToGrid w:val="0"/>
        <w:spacing w:line="520" w:lineRule="exact"/>
        <w:jc w:val="center"/>
        <w:textAlignment w:val="baseline"/>
        <w:rPr>
          <w:rFonts w:ascii="宋体" w:hAnsi="宋体" w:cs="宋体"/>
          <w:b/>
          <w:color w:val="000000"/>
          <w:sz w:val="24"/>
          <w:szCs w:val="24"/>
        </w:rPr>
      </w:pPr>
    </w:p>
    <w:p>
      <w:pPr>
        <w:snapToGrid w:val="0"/>
        <w:spacing w:line="520" w:lineRule="exact"/>
        <w:jc w:val="center"/>
        <w:textAlignment w:val="baseline"/>
        <w:rPr>
          <w:rFonts w:ascii="宋体" w:hAnsi="宋体" w:cs="宋体"/>
          <w:b/>
          <w:color w:val="000000"/>
          <w:sz w:val="24"/>
          <w:szCs w:val="24"/>
        </w:rPr>
      </w:pPr>
    </w:p>
    <w:p>
      <w:pPr>
        <w:snapToGrid w:val="0"/>
        <w:spacing w:line="520" w:lineRule="exact"/>
        <w:jc w:val="center"/>
        <w:textAlignment w:val="baseline"/>
        <w:rPr>
          <w:rFonts w:ascii="宋体" w:hAnsi="宋体" w:cs="宋体"/>
          <w:b/>
          <w:color w:val="000000"/>
          <w:sz w:val="24"/>
          <w:szCs w:val="24"/>
        </w:rPr>
      </w:pPr>
    </w:p>
    <w:p>
      <w:pPr>
        <w:snapToGrid w:val="0"/>
        <w:ind w:firstLine="240" w:firstLineChars="100"/>
        <w:textAlignment w:val="baseline"/>
        <w:rPr>
          <w:rFonts w:hint="eastAsia" w:ascii="宋体" w:hAnsi="宋体" w:eastAsia="宋体"/>
          <w:color w:val="000000"/>
          <w:sz w:val="24"/>
          <w:szCs w:val="24"/>
          <w:lang w:eastAsia="zh-CN"/>
        </w:rPr>
      </w:pPr>
    </w:p>
    <w:p>
      <w:pPr>
        <w:pStyle w:val="2"/>
        <w:rPr>
          <w:rFonts w:hint="eastAsia"/>
          <w:lang w:eastAsia="zh-CN"/>
        </w:rPr>
        <w:sectPr>
          <w:footerReference r:id="rId10" w:type="first"/>
          <w:footerReference r:id="rId9" w:type="default"/>
          <w:pgSz w:w="11906" w:h="16838"/>
          <w:pgMar w:top="1304" w:right="1249" w:bottom="1361" w:left="1417" w:header="851" w:footer="992" w:gutter="0"/>
          <w:pgNumType w:start="1" w:chapStyle="1"/>
          <w:cols w:space="0" w:num="1"/>
          <w:titlePg/>
          <w:rtlGutter w:val="0"/>
          <w:docGrid w:type="linesAndChars" w:linePitch="312" w:charSpace="0"/>
        </w:sectPr>
      </w:pPr>
    </w:p>
    <w:p>
      <w:pPr>
        <w:snapToGrid w:val="0"/>
        <w:spacing w:line="360" w:lineRule="auto"/>
        <w:jc w:val="center"/>
        <w:textAlignment w:val="baseline"/>
        <w:rPr>
          <w:rFonts w:ascii="宋体" w:hAnsi="宋体" w:cs="宋体"/>
          <w:b/>
          <w:color w:val="000000"/>
          <w:sz w:val="24"/>
          <w:szCs w:val="24"/>
        </w:rPr>
      </w:pPr>
    </w:p>
    <w:p>
      <w:pPr>
        <w:snapToGrid w:val="0"/>
        <w:spacing w:line="360" w:lineRule="auto"/>
        <w:jc w:val="center"/>
        <w:textAlignment w:val="baseline"/>
        <w:rPr>
          <w:rFonts w:ascii="宋体" w:hAnsi="宋体" w:cs="宋体"/>
          <w:b/>
          <w:color w:val="000000"/>
          <w:sz w:val="24"/>
          <w:szCs w:val="24"/>
        </w:rPr>
      </w:pPr>
      <w:r>
        <w:rPr>
          <w:rFonts w:hint="eastAsia" w:ascii="宋体" w:hAnsi="宋体" w:cs="宋体"/>
          <w:b/>
          <w:color w:val="000000"/>
          <w:sz w:val="28"/>
          <w:szCs w:val="28"/>
        </w:rPr>
        <w:t>7、竞争性磋商响应函（格式不得变动）</w:t>
      </w:r>
    </w:p>
    <w:p>
      <w:pPr>
        <w:snapToGrid w:val="0"/>
        <w:spacing w:line="520" w:lineRule="exact"/>
        <w:textAlignment w:val="baseline"/>
        <w:rPr>
          <w:rFonts w:ascii="宋体" w:hAnsi="宋体" w:cs="宋体"/>
          <w:sz w:val="24"/>
          <w:szCs w:val="24"/>
          <w:u w:val="single"/>
        </w:rPr>
      </w:pPr>
    </w:p>
    <w:p>
      <w:pPr>
        <w:snapToGrid w:val="0"/>
        <w:spacing w:line="360" w:lineRule="auto"/>
        <w:textAlignment w:val="baseline"/>
        <w:rPr>
          <w:rFonts w:ascii="宋体" w:hAnsi="宋体" w:cs="宋体"/>
          <w:sz w:val="24"/>
          <w:szCs w:val="24"/>
          <w:u w:val="single"/>
        </w:rPr>
      </w:pPr>
      <w:r>
        <w:rPr>
          <w:rFonts w:hint="eastAsia" w:ascii="宋体" w:hAnsi="宋体" w:cs="微软雅黑"/>
          <w:sz w:val="24"/>
          <w:szCs w:val="24"/>
          <w:u w:val="single" w:color="000000"/>
        </w:rPr>
        <w:t>南通市公安局崇川分局</w:t>
      </w:r>
      <w:r>
        <w:rPr>
          <w:rFonts w:hint="eastAsia" w:ascii="宋体" w:hAnsi="宋体" w:cs="宋体"/>
          <w:sz w:val="24"/>
          <w:szCs w:val="24"/>
          <w:u w:val="single" w:color="000000"/>
        </w:rPr>
        <w:t>：</w:t>
      </w:r>
    </w:p>
    <w:p>
      <w:pPr>
        <w:snapToGrid w:val="0"/>
        <w:spacing w:line="52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依据贵单位委托代理机构组织的</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（磋商项目名称及项目编号)项目竞争性磋商的邀请，我方授权</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（姓名）</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（职务）为全权代表参加该项目的磋商工作，全权处理本次竞争性磋商的有关事宜。同时，我公司声明如下：</w:t>
      </w:r>
    </w:p>
    <w:p>
      <w:pPr>
        <w:snapToGrid w:val="0"/>
        <w:spacing w:line="52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3、我公司已毫无保留地向贵方提供一切所需的证明材料。</w:t>
      </w:r>
    </w:p>
    <w:p>
      <w:pPr>
        <w:snapToGrid w:val="0"/>
        <w:spacing w:line="52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4、我公司承诺在本次磋商响应中提供的一切文件，无论是原件还是</w:t>
      </w:r>
      <w:r>
        <w:rPr>
          <w:rFonts w:hint="eastAsia" w:ascii="宋体" w:hAnsi="宋体" w:cs="宋体"/>
          <w:sz w:val="24"/>
          <w:szCs w:val="24"/>
        </w:rPr>
        <w:t>扫描件或</w:t>
      </w:r>
      <w:r>
        <w:rPr>
          <w:rFonts w:hint="eastAsia" w:ascii="宋体" w:hAnsi="宋体" w:cs="宋体"/>
          <w:color w:val="000000"/>
          <w:sz w:val="24"/>
          <w:szCs w:val="24"/>
        </w:rPr>
        <w:t>复印件均真实有效，绝无任何虚假、伪造和夸大的成份。否则，愿承担相应的后果和法律责任。</w:t>
      </w:r>
    </w:p>
    <w:p>
      <w:pPr>
        <w:snapToGrid w:val="0"/>
        <w:spacing w:line="52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5、一旦成交，我方承诺无正当理由拒绝签订合同，将被贵方取消成交资格，同意贵方将磋商保证金作为违约金全额不予退还的处理。</w:t>
      </w:r>
    </w:p>
    <w:p>
      <w:pPr>
        <w:snapToGrid w:val="0"/>
        <w:spacing w:line="52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b/>
          <w:color w:val="000000"/>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textAlignment w:val="baseline"/>
        <w:rPr>
          <w:rFonts w:ascii="宋体" w:hAnsi="宋体" w:cs="宋体"/>
          <w:color w:val="000000"/>
          <w:sz w:val="24"/>
          <w:szCs w:val="24"/>
        </w:rPr>
      </w:pPr>
    </w:p>
    <w:p>
      <w:pPr>
        <w:pStyle w:val="19"/>
        <w:snapToGrid w:val="0"/>
        <w:textAlignment w:val="baseline"/>
      </w:pPr>
    </w:p>
    <w:p>
      <w:pPr>
        <w:snapToGrid w:val="0"/>
        <w:spacing w:line="480" w:lineRule="auto"/>
        <w:ind w:right="79" w:firstLine="4800" w:firstLineChars="2000"/>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80" w:lineRule="auto"/>
        <w:ind w:firstLine="2400" w:firstLineChars="1000"/>
        <w:jc w:val="right"/>
        <w:textAlignment w:val="baseline"/>
        <w:rPr>
          <w:rFonts w:ascii="宋体" w:hAnsi="宋体" w:cs="宋体"/>
          <w:color w:val="000000"/>
          <w:sz w:val="24"/>
          <w:szCs w:val="24"/>
        </w:rPr>
      </w:pPr>
      <w:r>
        <w:rPr>
          <w:rFonts w:hint="eastAsia" w:ascii="宋体" w:hAnsi="宋体" w:cs="宋体"/>
          <w:color w:val="000000"/>
          <w:sz w:val="24"/>
          <w:szCs w:val="24"/>
        </w:rPr>
        <w:t>法定代表人或被授权人：（签字或盖章）</w:t>
      </w:r>
    </w:p>
    <w:p>
      <w:pPr>
        <w:snapToGrid w:val="0"/>
        <w:spacing w:line="480" w:lineRule="auto"/>
        <w:jc w:val="right"/>
        <w:textAlignment w:val="baseline"/>
        <w:rPr>
          <w:rFonts w:ascii="宋体" w:hAnsi="宋体" w:cs="宋体"/>
          <w:color w:val="000000"/>
          <w:sz w:val="24"/>
          <w:szCs w:val="24"/>
        </w:rPr>
      </w:pPr>
      <w:r>
        <w:rPr>
          <w:rFonts w:hint="eastAsia" w:ascii="宋体" w:hAnsi="宋体" w:cs="宋体"/>
          <w:color w:val="000000"/>
          <w:sz w:val="24"/>
          <w:szCs w:val="24"/>
        </w:rPr>
        <w:t xml:space="preserve"> 年      月     日</w:t>
      </w:r>
    </w:p>
    <w:p>
      <w:pPr>
        <w:snapToGrid w:val="0"/>
        <w:textAlignment w:val="baseline"/>
        <w:rPr>
          <w:rFonts w:ascii="宋体" w:hAnsi="宋体" w:cs="宋体"/>
          <w:color w:val="000000"/>
          <w:sz w:val="24"/>
          <w:szCs w:val="24"/>
        </w:rPr>
      </w:pPr>
      <w:r>
        <w:rPr>
          <w:rFonts w:hint="eastAsia" w:ascii="宋体" w:hAnsi="宋体" w:cs="宋体"/>
          <w:color w:val="000000"/>
          <w:sz w:val="24"/>
          <w:szCs w:val="24"/>
        </w:rPr>
        <w:br w:type="page"/>
      </w:r>
    </w:p>
    <w:p>
      <w:pPr>
        <w:snapToGrid w:val="0"/>
        <w:spacing w:line="520" w:lineRule="exact"/>
        <w:jc w:val="center"/>
        <w:textAlignment w:val="baseline"/>
        <w:rPr>
          <w:b/>
          <w:sz w:val="28"/>
          <w:szCs w:val="28"/>
        </w:rPr>
      </w:pPr>
      <w:r>
        <w:rPr>
          <w:rFonts w:hint="eastAsia"/>
          <w:b/>
          <w:sz w:val="28"/>
          <w:szCs w:val="28"/>
        </w:rPr>
        <w:t>8、技术条款响应一览表</w:t>
      </w:r>
    </w:p>
    <w:p>
      <w:pPr>
        <w:snapToGrid w:val="0"/>
        <w:spacing w:line="520" w:lineRule="exact"/>
        <w:jc w:val="center"/>
        <w:textAlignment w:val="baseline"/>
        <w:rPr>
          <w:b/>
          <w:sz w:val="28"/>
          <w:szCs w:val="28"/>
        </w:rPr>
      </w:pPr>
    </w:p>
    <w:tbl>
      <w:tblPr>
        <w:tblStyle w:val="51"/>
        <w:tblW w:w="95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416"/>
        <w:gridCol w:w="1701"/>
        <w:gridCol w:w="2268"/>
        <w:gridCol w:w="1363"/>
        <w:gridCol w:w="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743" w:type="dxa"/>
            <w:tcBorders>
              <w:top w:val="single" w:color="auto" w:sz="12" w:space="0"/>
            </w:tcBorders>
            <w:vAlign w:val="center"/>
          </w:tcPr>
          <w:p>
            <w:pPr>
              <w:snapToGrid w:val="0"/>
              <w:jc w:val="center"/>
              <w:textAlignment w:val="baseline"/>
              <w:rPr>
                <w:sz w:val="20"/>
              </w:rPr>
            </w:pPr>
            <w:r>
              <w:rPr>
                <w:rFonts w:hint="eastAsia"/>
              </w:rPr>
              <w:t>序号</w:t>
            </w:r>
          </w:p>
        </w:tc>
        <w:tc>
          <w:tcPr>
            <w:tcW w:w="1243" w:type="dxa"/>
            <w:tcBorders>
              <w:top w:val="single" w:color="auto" w:sz="12" w:space="0"/>
            </w:tcBorders>
            <w:vAlign w:val="center"/>
          </w:tcPr>
          <w:p>
            <w:pPr>
              <w:snapToGrid w:val="0"/>
              <w:jc w:val="center"/>
              <w:textAlignment w:val="baseline"/>
              <w:rPr>
                <w:sz w:val="20"/>
              </w:rPr>
            </w:pPr>
            <w:r>
              <w:rPr>
                <w:rFonts w:hint="eastAsia"/>
                <w:sz w:val="24"/>
                <w:szCs w:val="24"/>
              </w:rPr>
              <w:t>货物名称</w:t>
            </w:r>
          </w:p>
        </w:tc>
        <w:tc>
          <w:tcPr>
            <w:tcW w:w="1416" w:type="dxa"/>
            <w:tcBorders>
              <w:top w:val="single" w:color="auto" w:sz="12" w:space="0"/>
            </w:tcBorders>
            <w:vAlign w:val="center"/>
          </w:tcPr>
          <w:p>
            <w:pPr>
              <w:snapToGrid w:val="0"/>
              <w:jc w:val="center"/>
              <w:textAlignment w:val="baseline"/>
              <w:rPr>
                <w:sz w:val="24"/>
                <w:szCs w:val="24"/>
              </w:rPr>
            </w:pPr>
            <w:r>
              <w:rPr>
                <w:rFonts w:hint="eastAsia"/>
                <w:sz w:val="24"/>
                <w:szCs w:val="24"/>
              </w:rPr>
              <w:t>所投</w:t>
            </w:r>
          </w:p>
          <w:p>
            <w:pPr>
              <w:snapToGrid w:val="0"/>
              <w:jc w:val="center"/>
              <w:textAlignment w:val="baseline"/>
              <w:rPr>
                <w:dstrike/>
                <w:sz w:val="20"/>
              </w:rPr>
            </w:pPr>
            <w:r>
              <w:rPr>
                <w:rFonts w:hint="eastAsia"/>
                <w:sz w:val="24"/>
                <w:szCs w:val="24"/>
              </w:rPr>
              <w:t>品牌型号</w:t>
            </w:r>
          </w:p>
        </w:tc>
        <w:tc>
          <w:tcPr>
            <w:tcW w:w="1701" w:type="dxa"/>
            <w:tcBorders>
              <w:top w:val="single" w:color="auto" w:sz="12" w:space="0"/>
            </w:tcBorders>
            <w:vAlign w:val="center"/>
          </w:tcPr>
          <w:p>
            <w:pPr>
              <w:snapToGrid w:val="0"/>
              <w:jc w:val="center"/>
              <w:textAlignment w:val="baseline"/>
              <w:rPr>
                <w:sz w:val="24"/>
                <w:szCs w:val="24"/>
              </w:rPr>
            </w:pPr>
            <w:r>
              <w:rPr>
                <w:rFonts w:hint="eastAsia"/>
                <w:sz w:val="24"/>
                <w:szCs w:val="24"/>
              </w:rPr>
              <w:t>磋商文件</w:t>
            </w:r>
          </w:p>
          <w:p>
            <w:pPr>
              <w:snapToGrid w:val="0"/>
              <w:jc w:val="center"/>
              <w:textAlignment w:val="baseline"/>
              <w:rPr>
                <w:sz w:val="24"/>
                <w:szCs w:val="24"/>
              </w:rPr>
            </w:pPr>
            <w:r>
              <w:rPr>
                <w:rFonts w:hint="eastAsia"/>
                <w:sz w:val="24"/>
                <w:szCs w:val="24"/>
              </w:rPr>
              <w:t>设备参数要求</w:t>
            </w:r>
          </w:p>
        </w:tc>
        <w:tc>
          <w:tcPr>
            <w:tcW w:w="2268" w:type="dxa"/>
            <w:tcBorders>
              <w:top w:val="single" w:color="auto" w:sz="12" w:space="0"/>
            </w:tcBorders>
            <w:vAlign w:val="center"/>
          </w:tcPr>
          <w:p>
            <w:pPr>
              <w:snapToGrid w:val="0"/>
              <w:jc w:val="center"/>
              <w:textAlignment w:val="baseline"/>
              <w:rPr>
                <w:sz w:val="24"/>
                <w:szCs w:val="24"/>
              </w:rPr>
            </w:pPr>
            <w:r>
              <w:rPr>
                <w:rFonts w:hint="eastAsia"/>
                <w:sz w:val="24"/>
                <w:szCs w:val="24"/>
              </w:rPr>
              <w:t>所投设备</w:t>
            </w:r>
          </w:p>
          <w:p>
            <w:pPr>
              <w:snapToGrid w:val="0"/>
              <w:jc w:val="center"/>
              <w:textAlignment w:val="baseline"/>
              <w:rPr>
                <w:sz w:val="24"/>
                <w:szCs w:val="24"/>
              </w:rPr>
            </w:pPr>
            <w:r>
              <w:rPr>
                <w:rFonts w:hint="eastAsia"/>
                <w:sz w:val="24"/>
                <w:szCs w:val="24"/>
              </w:rPr>
              <w:t>技术响应参数</w:t>
            </w:r>
          </w:p>
        </w:tc>
        <w:tc>
          <w:tcPr>
            <w:tcW w:w="1363" w:type="dxa"/>
            <w:tcBorders>
              <w:top w:val="single" w:color="auto" w:sz="12" w:space="0"/>
            </w:tcBorders>
            <w:vAlign w:val="center"/>
          </w:tcPr>
          <w:p>
            <w:pPr>
              <w:snapToGrid w:val="0"/>
              <w:jc w:val="center"/>
              <w:textAlignment w:val="baseline"/>
              <w:rPr>
                <w:sz w:val="20"/>
              </w:rPr>
            </w:pPr>
            <w:r>
              <w:rPr>
                <w:rFonts w:hint="eastAsia"/>
              </w:rPr>
              <w:t>偏离</w:t>
            </w:r>
            <w:r>
              <w:t>/</w:t>
            </w:r>
            <w:r>
              <w:rPr>
                <w:rFonts w:hint="eastAsia"/>
              </w:rPr>
              <w:t>响应</w:t>
            </w:r>
          </w:p>
        </w:tc>
        <w:tc>
          <w:tcPr>
            <w:tcW w:w="809" w:type="dxa"/>
            <w:tcBorders>
              <w:top w:val="single" w:color="auto" w:sz="12" w:space="0"/>
            </w:tcBorders>
            <w:vAlign w:val="center"/>
          </w:tcPr>
          <w:p>
            <w:pPr>
              <w:snapToGrid w:val="0"/>
              <w:jc w:val="center"/>
              <w:textAlignment w:val="baseline"/>
              <w:rPr>
                <w:sz w:val="20"/>
              </w:rPr>
            </w:pPr>
            <w:r>
              <w:rPr>
                <w:rFonts w:hint="eastAsia"/>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napToGrid w:val="0"/>
              <w:jc w:val="center"/>
              <w:textAlignment w:val="baseline"/>
              <w:rPr>
                <w:sz w:val="20"/>
              </w:rPr>
            </w:pPr>
          </w:p>
        </w:tc>
        <w:tc>
          <w:tcPr>
            <w:tcW w:w="1243" w:type="dxa"/>
            <w:vAlign w:val="center"/>
          </w:tcPr>
          <w:p>
            <w:pPr>
              <w:snapToGrid w:val="0"/>
              <w:jc w:val="center"/>
              <w:textAlignment w:val="baseline"/>
              <w:rPr>
                <w:sz w:val="20"/>
              </w:rPr>
            </w:pPr>
          </w:p>
        </w:tc>
        <w:tc>
          <w:tcPr>
            <w:tcW w:w="1416" w:type="dxa"/>
          </w:tcPr>
          <w:p>
            <w:pPr>
              <w:snapToGrid w:val="0"/>
              <w:jc w:val="center"/>
              <w:textAlignment w:val="baseline"/>
              <w:rPr>
                <w:sz w:val="20"/>
              </w:rPr>
            </w:pPr>
          </w:p>
        </w:tc>
        <w:tc>
          <w:tcPr>
            <w:tcW w:w="1701" w:type="dxa"/>
            <w:vAlign w:val="center"/>
          </w:tcPr>
          <w:p>
            <w:pPr>
              <w:snapToGrid w:val="0"/>
              <w:jc w:val="center"/>
              <w:textAlignment w:val="baseline"/>
              <w:rPr>
                <w:sz w:val="20"/>
              </w:rPr>
            </w:pPr>
          </w:p>
        </w:tc>
        <w:tc>
          <w:tcPr>
            <w:tcW w:w="2268" w:type="dxa"/>
            <w:vAlign w:val="center"/>
          </w:tcPr>
          <w:p>
            <w:pPr>
              <w:snapToGrid w:val="0"/>
              <w:jc w:val="center"/>
              <w:textAlignment w:val="baseline"/>
              <w:rPr>
                <w:sz w:val="20"/>
              </w:rPr>
            </w:pPr>
          </w:p>
        </w:tc>
        <w:tc>
          <w:tcPr>
            <w:tcW w:w="1363" w:type="dxa"/>
            <w:vAlign w:val="center"/>
          </w:tcPr>
          <w:p>
            <w:pPr>
              <w:snapToGrid w:val="0"/>
              <w:jc w:val="center"/>
              <w:textAlignment w:val="baseline"/>
              <w:rPr>
                <w:sz w:val="20"/>
              </w:rPr>
            </w:pPr>
          </w:p>
        </w:tc>
        <w:tc>
          <w:tcPr>
            <w:tcW w:w="809" w:type="dxa"/>
            <w:vAlign w:val="center"/>
          </w:tcPr>
          <w:p>
            <w:pPr>
              <w:snapToGrid w:val="0"/>
              <w:jc w:val="center"/>
              <w:textAlignment w:val="baseline"/>
              <w:rPr>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napToGrid w:val="0"/>
              <w:jc w:val="center"/>
              <w:textAlignment w:val="baseline"/>
              <w:rPr>
                <w:sz w:val="20"/>
              </w:rPr>
            </w:pPr>
          </w:p>
        </w:tc>
        <w:tc>
          <w:tcPr>
            <w:tcW w:w="1243" w:type="dxa"/>
            <w:vAlign w:val="center"/>
          </w:tcPr>
          <w:p>
            <w:pPr>
              <w:snapToGrid w:val="0"/>
              <w:jc w:val="center"/>
              <w:textAlignment w:val="baseline"/>
              <w:rPr>
                <w:sz w:val="20"/>
              </w:rPr>
            </w:pPr>
          </w:p>
        </w:tc>
        <w:tc>
          <w:tcPr>
            <w:tcW w:w="1416" w:type="dxa"/>
          </w:tcPr>
          <w:p>
            <w:pPr>
              <w:snapToGrid w:val="0"/>
              <w:jc w:val="center"/>
              <w:textAlignment w:val="baseline"/>
              <w:rPr>
                <w:sz w:val="20"/>
              </w:rPr>
            </w:pPr>
          </w:p>
        </w:tc>
        <w:tc>
          <w:tcPr>
            <w:tcW w:w="1701" w:type="dxa"/>
            <w:vAlign w:val="center"/>
          </w:tcPr>
          <w:p>
            <w:pPr>
              <w:snapToGrid w:val="0"/>
              <w:jc w:val="center"/>
              <w:textAlignment w:val="baseline"/>
              <w:rPr>
                <w:sz w:val="20"/>
              </w:rPr>
            </w:pPr>
          </w:p>
        </w:tc>
        <w:tc>
          <w:tcPr>
            <w:tcW w:w="2268" w:type="dxa"/>
            <w:vAlign w:val="center"/>
          </w:tcPr>
          <w:p>
            <w:pPr>
              <w:snapToGrid w:val="0"/>
              <w:jc w:val="center"/>
              <w:textAlignment w:val="baseline"/>
              <w:rPr>
                <w:sz w:val="20"/>
              </w:rPr>
            </w:pPr>
          </w:p>
        </w:tc>
        <w:tc>
          <w:tcPr>
            <w:tcW w:w="1363" w:type="dxa"/>
            <w:vAlign w:val="center"/>
          </w:tcPr>
          <w:p>
            <w:pPr>
              <w:snapToGrid w:val="0"/>
              <w:jc w:val="center"/>
              <w:textAlignment w:val="baseline"/>
              <w:rPr>
                <w:sz w:val="20"/>
              </w:rPr>
            </w:pPr>
          </w:p>
        </w:tc>
        <w:tc>
          <w:tcPr>
            <w:tcW w:w="809" w:type="dxa"/>
            <w:vAlign w:val="center"/>
          </w:tcPr>
          <w:p>
            <w:pPr>
              <w:snapToGrid w:val="0"/>
              <w:jc w:val="center"/>
              <w:textAlignment w:val="baseline"/>
              <w:rPr>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napToGrid w:val="0"/>
              <w:jc w:val="center"/>
              <w:textAlignment w:val="baseline"/>
              <w:rPr>
                <w:sz w:val="20"/>
              </w:rPr>
            </w:pPr>
          </w:p>
        </w:tc>
        <w:tc>
          <w:tcPr>
            <w:tcW w:w="1243" w:type="dxa"/>
            <w:vAlign w:val="center"/>
          </w:tcPr>
          <w:p>
            <w:pPr>
              <w:snapToGrid w:val="0"/>
              <w:jc w:val="center"/>
              <w:textAlignment w:val="baseline"/>
              <w:rPr>
                <w:sz w:val="20"/>
              </w:rPr>
            </w:pPr>
          </w:p>
        </w:tc>
        <w:tc>
          <w:tcPr>
            <w:tcW w:w="1416" w:type="dxa"/>
          </w:tcPr>
          <w:p>
            <w:pPr>
              <w:snapToGrid w:val="0"/>
              <w:jc w:val="center"/>
              <w:textAlignment w:val="baseline"/>
              <w:rPr>
                <w:sz w:val="20"/>
              </w:rPr>
            </w:pPr>
          </w:p>
        </w:tc>
        <w:tc>
          <w:tcPr>
            <w:tcW w:w="1701" w:type="dxa"/>
            <w:vAlign w:val="center"/>
          </w:tcPr>
          <w:p>
            <w:pPr>
              <w:snapToGrid w:val="0"/>
              <w:jc w:val="center"/>
              <w:textAlignment w:val="baseline"/>
              <w:rPr>
                <w:sz w:val="20"/>
              </w:rPr>
            </w:pPr>
          </w:p>
        </w:tc>
        <w:tc>
          <w:tcPr>
            <w:tcW w:w="2268" w:type="dxa"/>
            <w:vAlign w:val="center"/>
          </w:tcPr>
          <w:p>
            <w:pPr>
              <w:snapToGrid w:val="0"/>
              <w:jc w:val="center"/>
              <w:textAlignment w:val="baseline"/>
              <w:rPr>
                <w:sz w:val="20"/>
              </w:rPr>
            </w:pPr>
          </w:p>
        </w:tc>
        <w:tc>
          <w:tcPr>
            <w:tcW w:w="1363" w:type="dxa"/>
            <w:vAlign w:val="center"/>
          </w:tcPr>
          <w:p>
            <w:pPr>
              <w:snapToGrid w:val="0"/>
              <w:jc w:val="center"/>
              <w:textAlignment w:val="baseline"/>
              <w:rPr>
                <w:sz w:val="20"/>
              </w:rPr>
            </w:pPr>
          </w:p>
        </w:tc>
        <w:tc>
          <w:tcPr>
            <w:tcW w:w="809" w:type="dxa"/>
            <w:vAlign w:val="center"/>
          </w:tcPr>
          <w:p>
            <w:pPr>
              <w:snapToGrid w:val="0"/>
              <w:jc w:val="center"/>
              <w:textAlignment w:val="baseline"/>
              <w:rPr>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napToGrid w:val="0"/>
              <w:jc w:val="center"/>
              <w:textAlignment w:val="baseline"/>
              <w:rPr>
                <w:sz w:val="20"/>
              </w:rPr>
            </w:pPr>
          </w:p>
        </w:tc>
        <w:tc>
          <w:tcPr>
            <w:tcW w:w="1243" w:type="dxa"/>
            <w:vAlign w:val="center"/>
          </w:tcPr>
          <w:p>
            <w:pPr>
              <w:snapToGrid w:val="0"/>
              <w:jc w:val="center"/>
              <w:textAlignment w:val="baseline"/>
              <w:rPr>
                <w:sz w:val="20"/>
              </w:rPr>
            </w:pPr>
          </w:p>
        </w:tc>
        <w:tc>
          <w:tcPr>
            <w:tcW w:w="1416" w:type="dxa"/>
          </w:tcPr>
          <w:p>
            <w:pPr>
              <w:snapToGrid w:val="0"/>
              <w:jc w:val="center"/>
              <w:textAlignment w:val="baseline"/>
              <w:rPr>
                <w:sz w:val="20"/>
              </w:rPr>
            </w:pPr>
          </w:p>
        </w:tc>
        <w:tc>
          <w:tcPr>
            <w:tcW w:w="1701" w:type="dxa"/>
            <w:vAlign w:val="center"/>
          </w:tcPr>
          <w:p>
            <w:pPr>
              <w:snapToGrid w:val="0"/>
              <w:jc w:val="center"/>
              <w:textAlignment w:val="baseline"/>
              <w:rPr>
                <w:sz w:val="20"/>
              </w:rPr>
            </w:pPr>
          </w:p>
        </w:tc>
        <w:tc>
          <w:tcPr>
            <w:tcW w:w="2268" w:type="dxa"/>
            <w:vAlign w:val="center"/>
          </w:tcPr>
          <w:p>
            <w:pPr>
              <w:snapToGrid w:val="0"/>
              <w:jc w:val="center"/>
              <w:textAlignment w:val="baseline"/>
              <w:rPr>
                <w:sz w:val="20"/>
              </w:rPr>
            </w:pPr>
          </w:p>
        </w:tc>
        <w:tc>
          <w:tcPr>
            <w:tcW w:w="1363" w:type="dxa"/>
            <w:vAlign w:val="center"/>
          </w:tcPr>
          <w:p>
            <w:pPr>
              <w:snapToGrid w:val="0"/>
              <w:jc w:val="center"/>
              <w:textAlignment w:val="baseline"/>
              <w:rPr>
                <w:sz w:val="20"/>
              </w:rPr>
            </w:pPr>
          </w:p>
        </w:tc>
        <w:tc>
          <w:tcPr>
            <w:tcW w:w="809" w:type="dxa"/>
            <w:vAlign w:val="center"/>
          </w:tcPr>
          <w:p>
            <w:pPr>
              <w:snapToGrid w:val="0"/>
              <w:jc w:val="center"/>
              <w:textAlignment w:val="baseline"/>
              <w:rPr>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bottom w:val="single" w:color="auto" w:sz="12" w:space="0"/>
            </w:tcBorders>
          </w:tcPr>
          <w:p>
            <w:pPr>
              <w:snapToGrid w:val="0"/>
              <w:jc w:val="center"/>
              <w:textAlignment w:val="baseline"/>
              <w:rPr>
                <w:sz w:val="20"/>
              </w:rPr>
            </w:pPr>
            <w:r>
              <w:t>……</w:t>
            </w:r>
          </w:p>
        </w:tc>
        <w:tc>
          <w:tcPr>
            <w:tcW w:w="1243" w:type="dxa"/>
            <w:tcBorders>
              <w:bottom w:val="single" w:color="auto" w:sz="12" w:space="0"/>
            </w:tcBorders>
            <w:vAlign w:val="center"/>
          </w:tcPr>
          <w:p>
            <w:pPr>
              <w:snapToGrid w:val="0"/>
              <w:jc w:val="center"/>
              <w:textAlignment w:val="baseline"/>
              <w:rPr>
                <w:sz w:val="20"/>
              </w:rPr>
            </w:pPr>
          </w:p>
        </w:tc>
        <w:tc>
          <w:tcPr>
            <w:tcW w:w="1416" w:type="dxa"/>
            <w:tcBorders>
              <w:bottom w:val="single" w:color="auto" w:sz="12" w:space="0"/>
            </w:tcBorders>
          </w:tcPr>
          <w:p>
            <w:pPr>
              <w:snapToGrid w:val="0"/>
              <w:jc w:val="center"/>
              <w:textAlignment w:val="baseline"/>
              <w:rPr>
                <w:sz w:val="20"/>
              </w:rPr>
            </w:pPr>
          </w:p>
        </w:tc>
        <w:tc>
          <w:tcPr>
            <w:tcW w:w="1701" w:type="dxa"/>
            <w:tcBorders>
              <w:bottom w:val="single" w:color="auto" w:sz="12" w:space="0"/>
            </w:tcBorders>
            <w:vAlign w:val="center"/>
          </w:tcPr>
          <w:p>
            <w:pPr>
              <w:snapToGrid w:val="0"/>
              <w:jc w:val="center"/>
              <w:textAlignment w:val="baseline"/>
              <w:rPr>
                <w:sz w:val="20"/>
              </w:rPr>
            </w:pPr>
          </w:p>
        </w:tc>
        <w:tc>
          <w:tcPr>
            <w:tcW w:w="2268" w:type="dxa"/>
            <w:tcBorders>
              <w:bottom w:val="single" w:color="auto" w:sz="12" w:space="0"/>
            </w:tcBorders>
            <w:vAlign w:val="center"/>
          </w:tcPr>
          <w:p>
            <w:pPr>
              <w:snapToGrid w:val="0"/>
              <w:jc w:val="center"/>
              <w:textAlignment w:val="baseline"/>
              <w:rPr>
                <w:sz w:val="20"/>
              </w:rPr>
            </w:pPr>
          </w:p>
        </w:tc>
        <w:tc>
          <w:tcPr>
            <w:tcW w:w="1363" w:type="dxa"/>
            <w:tcBorders>
              <w:bottom w:val="single" w:color="auto" w:sz="12" w:space="0"/>
            </w:tcBorders>
            <w:vAlign w:val="center"/>
          </w:tcPr>
          <w:p>
            <w:pPr>
              <w:snapToGrid w:val="0"/>
              <w:jc w:val="center"/>
              <w:textAlignment w:val="baseline"/>
              <w:rPr>
                <w:sz w:val="20"/>
              </w:rPr>
            </w:pPr>
          </w:p>
        </w:tc>
        <w:tc>
          <w:tcPr>
            <w:tcW w:w="809" w:type="dxa"/>
            <w:tcBorders>
              <w:bottom w:val="single" w:color="auto" w:sz="12" w:space="0"/>
            </w:tcBorders>
            <w:vAlign w:val="center"/>
          </w:tcPr>
          <w:p>
            <w:pPr>
              <w:snapToGrid w:val="0"/>
              <w:jc w:val="center"/>
              <w:textAlignment w:val="baseline"/>
              <w:rPr>
                <w:sz w:val="20"/>
              </w:rPr>
            </w:pPr>
          </w:p>
        </w:tc>
      </w:tr>
    </w:tbl>
    <w:p>
      <w:pPr>
        <w:snapToGrid w:val="0"/>
        <w:spacing w:line="360" w:lineRule="auto"/>
        <w:ind w:firstLine="480" w:firstLineChars="200"/>
        <w:textAlignment w:val="baseline"/>
        <w:rPr>
          <w:sz w:val="24"/>
          <w:szCs w:val="24"/>
        </w:rPr>
      </w:pPr>
    </w:p>
    <w:p>
      <w:pPr>
        <w:pStyle w:val="2"/>
        <w:snapToGrid w:val="0"/>
        <w:ind w:firstLine="480"/>
        <w:textAlignment w:val="baseline"/>
        <w:rPr>
          <w:szCs w:val="24"/>
        </w:rPr>
      </w:pPr>
    </w:p>
    <w:p>
      <w:pPr>
        <w:snapToGrid w:val="0"/>
        <w:spacing w:line="480" w:lineRule="auto"/>
        <w:ind w:right="79" w:firstLine="4800" w:firstLineChars="2000"/>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80" w:lineRule="auto"/>
        <w:ind w:firstLine="2400" w:firstLineChars="1000"/>
        <w:jc w:val="right"/>
        <w:textAlignment w:val="baseline"/>
        <w:rPr>
          <w:rFonts w:ascii="宋体" w:hAnsi="宋体" w:cs="宋体"/>
          <w:color w:val="000000"/>
          <w:sz w:val="24"/>
          <w:szCs w:val="24"/>
        </w:rPr>
      </w:pPr>
      <w:r>
        <w:rPr>
          <w:rFonts w:hint="eastAsia" w:ascii="宋体" w:hAnsi="宋体" w:cs="宋体"/>
          <w:color w:val="000000"/>
          <w:sz w:val="24"/>
          <w:szCs w:val="24"/>
        </w:rPr>
        <w:t>法定代表人或被授权人：（签字或盖章）</w:t>
      </w:r>
    </w:p>
    <w:p>
      <w:pPr>
        <w:pStyle w:val="2"/>
        <w:snapToGrid w:val="0"/>
        <w:ind w:firstLine="6240" w:firstLineChars="2600"/>
        <w:textAlignment w:val="baseline"/>
        <w:rPr>
          <w:szCs w:val="24"/>
        </w:rPr>
      </w:pPr>
      <w:r>
        <w:rPr>
          <w:rFonts w:hint="eastAsia" w:ascii="宋体" w:hAnsi="宋体" w:cs="宋体"/>
          <w:color w:val="000000"/>
          <w:szCs w:val="24"/>
        </w:rPr>
        <w:t>年      月     日</w:t>
      </w:r>
    </w:p>
    <w:p>
      <w:pPr>
        <w:pStyle w:val="2"/>
        <w:snapToGrid w:val="0"/>
        <w:textAlignment w:val="baseline"/>
        <w:rPr>
          <w:sz w:val="21"/>
        </w:rPr>
      </w:pPr>
    </w:p>
    <w:p>
      <w:pPr>
        <w:widowControl/>
        <w:snapToGrid w:val="0"/>
        <w:jc w:val="center"/>
        <w:textAlignment w:val="baseline"/>
        <w:rPr>
          <w:rFonts w:hint="eastAsia" w:eastAsia="宋体"/>
          <w:sz w:val="20"/>
          <w:szCs w:val="24"/>
          <w:lang w:eastAsia="zh-CN"/>
        </w:rPr>
      </w:pPr>
    </w:p>
    <w:p>
      <w:pPr>
        <w:pStyle w:val="2"/>
        <w:rPr>
          <w:rFonts w:hint="eastAsia"/>
          <w:lang w:eastAsia="zh-CN"/>
        </w:rPr>
      </w:pPr>
    </w:p>
    <w:p>
      <w:pPr>
        <w:snapToGrid w:val="0"/>
        <w:textAlignment w:val="baseline"/>
        <w:rPr>
          <w:sz w:val="20"/>
          <w:szCs w:val="24"/>
        </w:rPr>
      </w:pPr>
      <w:r>
        <w:rPr>
          <w:sz w:val="20"/>
          <w:szCs w:val="24"/>
        </w:rPr>
        <w:br w:type="page"/>
      </w:r>
    </w:p>
    <w:p>
      <w:pPr>
        <w:snapToGrid w:val="0"/>
        <w:spacing w:line="520" w:lineRule="exact"/>
        <w:jc w:val="center"/>
        <w:textAlignment w:val="baseline"/>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9、磋商响应报价总表</w:t>
      </w:r>
    </w:p>
    <w:p>
      <w:pPr>
        <w:pStyle w:val="19"/>
        <w:snapToGrid w:val="0"/>
        <w:textAlignment w:val="baseline"/>
      </w:pPr>
    </w:p>
    <w:tbl>
      <w:tblPr>
        <w:tblStyle w:val="51"/>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756"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6843" w:type="dxa"/>
            <w:vAlign w:val="center"/>
          </w:tcPr>
          <w:p>
            <w:pPr>
              <w:snapToGrid w:val="0"/>
              <w:spacing w:line="480" w:lineRule="exact"/>
              <w:jc w:val="center"/>
              <w:textAlignment w:val="baseline"/>
              <w:rPr>
                <w:rFonts w:ascii="宋体" w:hAnsi="宋体"/>
                <w:sz w:val="24"/>
                <w:szCs w:val="24"/>
              </w:rPr>
            </w:pPr>
            <w:r>
              <w:rPr>
                <w:rFonts w:hint="eastAsia" w:ascii="宋体" w:hAnsi="宋体"/>
                <w:sz w:val="24"/>
                <w:szCs w:val="24"/>
              </w:rPr>
              <w:t>南通市公安局崇川分局陈桥派出所</w:t>
            </w:r>
          </w:p>
          <w:p>
            <w:pPr>
              <w:snapToGrid w:val="0"/>
              <w:spacing w:line="480" w:lineRule="exact"/>
              <w:jc w:val="center"/>
              <w:textAlignment w:val="baseline"/>
              <w:rPr>
                <w:rFonts w:ascii="宋体" w:hAnsi="宋体" w:cs="宋体"/>
                <w:sz w:val="24"/>
                <w:szCs w:val="24"/>
              </w:rPr>
            </w:pPr>
            <w:r>
              <w:rPr>
                <w:rFonts w:hint="eastAsia" w:ascii="宋体" w:hAnsi="宋体"/>
                <w:sz w:val="24"/>
                <w:szCs w:val="24"/>
              </w:rPr>
              <w:t>智能枪弹柜、智能单警装备柜采购项目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756"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项目编号</w:t>
            </w:r>
          </w:p>
        </w:tc>
        <w:tc>
          <w:tcPr>
            <w:tcW w:w="6843" w:type="dxa"/>
            <w:vAlign w:val="center"/>
          </w:tcPr>
          <w:p>
            <w:pPr>
              <w:snapToGrid w:val="0"/>
              <w:spacing w:line="480" w:lineRule="exact"/>
              <w:jc w:val="center"/>
              <w:textAlignment w:val="baseline"/>
              <w:rPr>
                <w:rFonts w:ascii="宋体" w:hAnsi="宋体" w:cs="宋体"/>
                <w:sz w:val="24"/>
                <w:szCs w:val="24"/>
              </w:rPr>
            </w:pPr>
            <w:r>
              <w:rPr>
                <w:rFonts w:hint="eastAsia" w:ascii="宋体" w:hAnsi="宋体"/>
                <w:sz w:val="24"/>
                <w:szCs w:val="24"/>
                <w:lang w:val="en-US" w:eastAsia="zh-CN"/>
              </w:rPr>
              <w:t>WLDL202111107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756"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6843" w:type="dxa"/>
            <w:vAlign w:val="center"/>
          </w:tcPr>
          <w:p>
            <w:pPr>
              <w:snapToGrid w:val="0"/>
              <w:spacing w:line="420" w:lineRule="exact"/>
              <w:textAlignment w:val="baseline"/>
              <w:rPr>
                <w:rFonts w:cs="宋体"/>
                <w:sz w:val="24"/>
                <w:szCs w:val="24"/>
              </w:rPr>
            </w:pPr>
            <w:r>
              <w:rPr>
                <w:rFonts w:hint="eastAsia" w:cs="宋体"/>
                <w:sz w:val="24"/>
                <w:szCs w:val="24"/>
              </w:rPr>
              <w:t>大写：</w:t>
            </w:r>
            <w:r>
              <w:rPr>
                <w:rFonts w:hint="eastAsia" w:ascii="宋体" w:hAnsi="宋体" w:cs="宋体"/>
                <w:sz w:val="24"/>
                <w:szCs w:val="24"/>
              </w:rPr>
              <w:t>人民币</w:t>
            </w:r>
            <w:r>
              <w:rPr>
                <w:rFonts w:hint="eastAsia" w:ascii="宋体" w:hAnsi="宋体" w:cs="宋体"/>
                <w:sz w:val="24"/>
                <w:szCs w:val="24"/>
                <w:u w:val="single" w:color="000000"/>
              </w:rPr>
              <w:t xml:space="preserve"> </w:t>
            </w:r>
            <w:r>
              <w:rPr>
                <w:rFonts w:hint="eastAsia" w:ascii="宋体" w:hAnsi="宋体" w:cs="宋体"/>
                <w:sz w:val="24"/>
                <w:szCs w:val="24"/>
                <w:u w:val="single" w:color="000000"/>
                <w:lang w:val="en-US" w:eastAsia="zh-CN"/>
              </w:rPr>
              <w:t xml:space="preserve">  </w:t>
            </w:r>
            <w:r>
              <w:rPr>
                <w:rFonts w:hint="eastAsia" w:ascii="宋体" w:hAnsi="宋体" w:cs="宋体"/>
                <w:sz w:val="24"/>
                <w:szCs w:val="24"/>
                <w:u w:val="single" w:color="000000"/>
              </w:rPr>
              <w:t xml:space="preserve"> 拾   万   仟   佰   元   角   分</w:t>
            </w:r>
            <w:r>
              <w:rPr>
                <w:rFonts w:hint="eastAsia" w:ascii="宋体" w:hAnsi="宋体" w:cs="宋体"/>
                <w:sz w:val="24"/>
                <w:szCs w:val="24"/>
              </w:rPr>
              <w:t>。</w:t>
            </w:r>
          </w:p>
          <w:p>
            <w:pPr>
              <w:snapToGrid w:val="0"/>
              <w:spacing w:line="420" w:lineRule="exact"/>
              <w:ind w:left="1130" w:hanging="1130" w:hangingChars="471"/>
              <w:textAlignment w:val="baseline"/>
              <w:rPr>
                <w:sz w:val="20"/>
                <w:szCs w:val="22"/>
              </w:rPr>
            </w:pPr>
            <w:r>
              <w:rPr>
                <w:rFonts w:hint="eastAsia" w:cs="宋体"/>
                <w:sz w:val="24"/>
                <w:szCs w:val="24"/>
                <w:lang w:val="en-US" w:eastAsia="zh-CN"/>
              </w:rPr>
              <w:t>小写：￥</w:t>
            </w:r>
            <w:r>
              <w:rPr>
                <w:rFonts w:hint="eastAsia" w:cs="宋体"/>
                <w:sz w:val="24"/>
                <w:szCs w:val="24"/>
                <w:u w:val="single"/>
                <w:lang w:val="en-US" w:eastAsia="zh-CN"/>
              </w:rPr>
              <w:t xml:space="preserve">                </w:t>
            </w:r>
            <w:r>
              <w:rPr>
                <w:rFonts w:hint="eastAsia" w:eastAsia="宋体" w:cs="宋体"/>
                <w:sz w:val="24"/>
                <w:szCs w:val="24"/>
                <w:u w:val="single"/>
              </w:rPr>
              <w:t xml:space="preserve"> </w:t>
            </w:r>
            <w:r>
              <w:rPr>
                <w:rFonts w:hint="eastAsia" w:cs="宋体"/>
                <w:sz w:val="24"/>
                <w:szCs w:val="24"/>
                <w:u w:val="singl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756"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磋商总价报价（最终）</w:t>
            </w:r>
          </w:p>
          <w:p>
            <w:pPr>
              <w:snapToGrid w:val="0"/>
              <w:spacing w:line="480" w:lineRule="exact"/>
              <w:jc w:val="center"/>
              <w:textAlignment w:val="baseline"/>
              <w:rPr>
                <w:sz w:val="20"/>
                <w:szCs w:val="22"/>
              </w:rPr>
            </w:pPr>
            <w:r>
              <w:rPr>
                <w:rFonts w:hint="eastAsia" w:ascii="宋体" w:hAnsi="宋体" w:cs="宋体"/>
                <w:b/>
                <w:bCs/>
                <w:sz w:val="24"/>
                <w:szCs w:val="24"/>
                <w:highlight w:val="yellow"/>
                <w:u w:val="single" w:color="000000"/>
              </w:rPr>
              <w:t>（磋商现场填写）</w:t>
            </w:r>
          </w:p>
        </w:tc>
        <w:tc>
          <w:tcPr>
            <w:tcW w:w="6843" w:type="dxa"/>
            <w:vAlign w:val="center"/>
          </w:tcPr>
          <w:p>
            <w:pPr>
              <w:snapToGrid w:val="0"/>
              <w:spacing w:line="420" w:lineRule="exact"/>
              <w:textAlignment w:val="baseline"/>
              <w:rPr>
                <w:rFonts w:cs="宋体"/>
                <w:sz w:val="24"/>
                <w:szCs w:val="24"/>
              </w:rPr>
            </w:pPr>
            <w:r>
              <w:rPr>
                <w:rFonts w:hint="eastAsia" w:cs="宋体"/>
                <w:sz w:val="24"/>
                <w:szCs w:val="24"/>
              </w:rPr>
              <w:t>大写：</w:t>
            </w:r>
            <w:r>
              <w:rPr>
                <w:rFonts w:hint="eastAsia" w:ascii="宋体" w:hAnsi="宋体" w:cs="宋体"/>
                <w:sz w:val="24"/>
                <w:szCs w:val="24"/>
              </w:rPr>
              <w:t>人民币</w:t>
            </w:r>
            <w:r>
              <w:rPr>
                <w:rFonts w:hint="eastAsia" w:ascii="宋体" w:hAnsi="宋体" w:cs="宋体"/>
                <w:sz w:val="24"/>
                <w:szCs w:val="24"/>
                <w:u w:val="single" w:color="000000"/>
              </w:rPr>
              <w:t xml:space="preserve">  </w:t>
            </w:r>
            <w:r>
              <w:rPr>
                <w:rFonts w:hint="eastAsia" w:ascii="宋体" w:hAnsi="宋体" w:cs="宋体"/>
                <w:sz w:val="24"/>
                <w:szCs w:val="24"/>
                <w:u w:val="single" w:color="000000"/>
                <w:lang w:val="en-US" w:eastAsia="zh-CN"/>
              </w:rPr>
              <w:t xml:space="preserve">  </w:t>
            </w:r>
            <w:r>
              <w:rPr>
                <w:rFonts w:hint="eastAsia" w:ascii="宋体" w:hAnsi="宋体" w:cs="宋体"/>
                <w:sz w:val="24"/>
                <w:szCs w:val="24"/>
                <w:u w:val="single" w:color="000000"/>
              </w:rPr>
              <w:t>拾   万   仟   佰   元   角   分</w:t>
            </w:r>
            <w:r>
              <w:rPr>
                <w:rFonts w:hint="eastAsia" w:ascii="宋体" w:hAnsi="宋体" w:cs="宋体"/>
                <w:sz w:val="24"/>
                <w:szCs w:val="24"/>
              </w:rPr>
              <w:t>。</w:t>
            </w:r>
          </w:p>
          <w:p>
            <w:pPr>
              <w:snapToGrid w:val="0"/>
              <w:spacing w:line="420" w:lineRule="exact"/>
              <w:ind w:left="1130" w:hanging="1130" w:hangingChars="471"/>
              <w:textAlignment w:val="baseline"/>
              <w:rPr>
                <w:rFonts w:cs="宋体"/>
                <w:sz w:val="20"/>
                <w:szCs w:val="22"/>
              </w:rPr>
            </w:pPr>
            <w:r>
              <w:rPr>
                <w:rFonts w:hint="eastAsia" w:cs="宋体"/>
                <w:sz w:val="24"/>
                <w:szCs w:val="24"/>
                <w:lang w:val="en-US" w:eastAsia="zh-CN"/>
              </w:rPr>
              <w:t>小写：￥</w:t>
            </w:r>
            <w:r>
              <w:rPr>
                <w:rFonts w:hint="eastAsia" w:cs="宋体"/>
                <w:sz w:val="24"/>
                <w:szCs w:val="24"/>
                <w:u w:val="single"/>
                <w:lang w:val="en-US" w:eastAsia="zh-CN"/>
              </w:rPr>
              <w:t xml:space="preserve">                </w:t>
            </w:r>
            <w:r>
              <w:rPr>
                <w:rFonts w:hint="eastAsia" w:eastAsia="宋体" w:cs="宋体"/>
                <w:sz w:val="24"/>
                <w:szCs w:val="24"/>
                <w:u w:val="single"/>
              </w:rPr>
              <w:t xml:space="preserve"> </w:t>
            </w:r>
            <w:r>
              <w:rPr>
                <w:rFonts w:hint="eastAsia" w:cs="宋体"/>
                <w:sz w:val="24"/>
                <w:szCs w:val="24"/>
                <w:u w:val="singl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756"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付款条件</w:t>
            </w:r>
          </w:p>
        </w:tc>
        <w:tc>
          <w:tcPr>
            <w:tcW w:w="6843"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 w:val="21"/>
          <w:szCs w:val="24"/>
        </w:rPr>
      </w:pPr>
    </w:p>
    <w:p>
      <w:pPr>
        <w:pStyle w:val="98"/>
        <w:snapToGrid w:val="0"/>
        <w:spacing w:line="360" w:lineRule="auto"/>
        <w:textAlignment w:val="baseline"/>
        <w:rPr>
          <w:rFonts w:ascii="Times New Roman" w:hAnsi="宋体" w:cs="宋体"/>
          <w:b/>
          <w:sz w:val="24"/>
        </w:rPr>
      </w:pPr>
      <w:r>
        <w:rPr>
          <w:rFonts w:hint="eastAsia" w:ascii="Times New Roman" w:hAnsi="宋体" w:cs="宋体"/>
          <w:b/>
          <w:sz w:val="24"/>
        </w:rPr>
        <w:t>注：1、最终磋商总价报价将在磋商现场填写，响应文件密封提交时只需填写首次磋商总价报价。</w:t>
      </w:r>
    </w:p>
    <w:p>
      <w:pPr>
        <w:pStyle w:val="98"/>
        <w:snapToGrid w:val="0"/>
        <w:spacing w:line="360" w:lineRule="auto"/>
        <w:ind w:firstLine="482" w:firstLineChars="200"/>
        <w:textAlignment w:val="baseline"/>
        <w:rPr>
          <w:rFonts w:ascii="Times New Roman" w:hAnsi="宋体" w:cs="宋体"/>
          <w:b/>
          <w:sz w:val="24"/>
        </w:rPr>
      </w:pPr>
      <w:r>
        <w:rPr>
          <w:rFonts w:hint="eastAsia" w:ascii="Times New Roman" w:hAnsi="宋体" w:cs="宋体"/>
          <w:b/>
          <w:sz w:val="24"/>
        </w:rPr>
        <w:t>2、本表式不得自行改动。</w:t>
      </w:r>
    </w:p>
    <w:p>
      <w:pPr>
        <w:snapToGrid w:val="0"/>
        <w:spacing w:line="360" w:lineRule="auto"/>
        <w:ind w:firstLine="496" w:firstLineChars="206"/>
        <w:textAlignment w:val="baseline"/>
        <w:rPr>
          <w:rFonts w:ascii="宋体" w:hAnsi="宋体" w:cs="宋体"/>
          <w:b/>
          <w:bCs/>
          <w:sz w:val="24"/>
          <w:szCs w:val="24"/>
        </w:rPr>
      </w:pPr>
      <w:r>
        <w:rPr>
          <w:rFonts w:hint="eastAsia" w:hAnsi="宋体" w:cs="宋体"/>
          <w:b/>
          <w:sz w:val="24"/>
        </w:rPr>
        <w:t>3、</w:t>
      </w:r>
      <w:r>
        <w:rPr>
          <w:rFonts w:hint="eastAsia" w:hAnsi="宋体"/>
          <w:b/>
          <w:bCs/>
          <w:sz w:val="24"/>
        </w:rPr>
        <w:t>磋商报价（以人民币计价）应包括但不限于所有与本项目实施有关的所有费用，</w:t>
      </w:r>
      <w:r>
        <w:rPr>
          <w:rFonts w:hint="eastAsia" w:ascii="宋体" w:hAnsi="宋体" w:cs="宋体"/>
          <w:b/>
          <w:bCs/>
          <w:sz w:val="24"/>
          <w:szCs w:val="24"/>
        </w:rPr>
        <w:t>包括所有的产品材料费（含辅材费）</w:t>
      </w:r>
      <w:r>
        <w:rPr>
          <w:rFonts w:hint="eastAsia"/>
          <w:b/>
          <w:bCs/>
          <w:sz w:val="24"/>
          <w:szCs w:val="24"/>
        </w:rPr>
        <w:t>、设计费、加工制作费、</w:t>
      </w:r>
      <w:r>
        <w:rPr>
          <w:rFonts w:hint="eastAsia" w:ascii="宋体" w:hAnsi="宋体" w:cs="宋体"/>
          <w:b/>
          <w:bCs/>
          <w:sz w:val="24"/>
          <w:szCs w:val="24"/>
        </w:rPr>
        <w:t>包装费、保险费、检测验收费、</w:t>
      </w:r>
      <w:r>
        <w:rPr>
          <w:rFonts w:hint="eastAsia"/>
          <w:b/>
          <w:bCs/>
          <w:sz w:val="24"/>
          <w:szCs w:val="24"/>
        </w:rPr>
        <w:t>运输到采购人指定地点的装运费用（含装卸力资）、成品保护费、安装费、技术支持与培训费</w:t>
      </w:r>
      <w:r>
        <w:rPr>
          <w:rFonts w:hint="eastAsia" w:ascii="宋体" w:hAnsi="宋体" w:cs="宋体"/>
          <w:b/>
          <w:bCs/>
          <w:sz w:val="24"/>
          <w:szCs w:val="24"/>
        </w:rPr>
        <w:t>、售后服务费、人工费及为完成本项目并达到采购人要求所必须发生的全部费用以及供应商的企业利润、税金和政策性文件规定及合同包含的所有风险、责任等各项应有费用。各投标人应根据磋商文件要求，并充分考虑市场，自行核算成本报价。</w:t>
      </w:r>
    </w:p>
    <w:p>
      <w:pPr>
        <w:pStyle w:val="2"/>
        <w:snapToGrid w:val="0"/>
        <w:spacing w:after="0" w:line="360" w:lineRule="auto"/>
        <w:ind w:firstLine="482"/>
        <w:textAlignment w:val="baseline"/>
        <w:rPr>
          <w:sz w:val="21"/>
        </w:rPr>
      </w:pPr>
      <w:r>
        <w:rPr>
          <w:rFonts w:hint="eastAsia" w:ascii="宋体" w:hAnsi="宋体" w:cs="宋体"/>
          <w:b/>
          <w:bCs/>
          <w:szCs w:val="24"/>
        </w:rPr>
        <w:t>4、若成交，各设备综合单价的计算原则：以磋商响应首次报价明细表中的单价为基数，根据最终磋商总价报价（成交价）与首轮磋商总价报价之间的下浮率进行同比例下浮，且以此作为确定最终各设备综合单价的依据。</w:t>
      </w:r>
    </w:p>
    <w:p>
      <w:pPr>
        <w:pStyle w:val="19"/>
        <w:snapToGrid w:val="0"/>
        <w:spacing w:line="360" w:lineRule="auto"/>
        <w:textAlignment w:val="baseline"/>
        <w:rPr>
          <w:rFonts w:hAnsi="宋体" w:cs="宋体"/>
        </w:rPr>
      </w:pPr>
    </w:p>
    <w:p>
      <w:pPr>
        <w:snapToGrid w:val="0"/>
        <w:spacing w:line="480" w:lineRule="auto"/>
        <w:ind w:right="79" w:firstLine="4800" w:firstLineChars="2000"/>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pStyle w:val="98"/>
        <w:tabs>
          <w:tab w:val="left" w:pos="5665"/>
          <w:tab w:val="right" w:pos="8360"/>
        </w:tabs>
        <w:snapToGrid w:val="0"/>
        <w:spacing w:line="360" w:lineRule="auto"/>
        <w:ind w:right="42" w:firstLine="4800" w:firstLineChars="2000"/>
        <w:textAlignment w:val="baseline"/>
        <w:rPr>
          <w:rFonts w:hAnsi="宋体" w:cs="宋体"/>
          <w:sz w:val="24"/>
          <w:u w:val="single"/>
        </w:rPr>
      </w:pPr>
      <w:r>
        <w:rPr>
          <w:rFonts w:hint="eastAsia" w:hAnsi="宋体" w:cs="宋体"/>
          <w:color w:val="000000"/>
          <w:sz w:val="24"/>
        </w:rPr>
        <w:t>法定代表人或被授权人：（签字或盖章）</w:t>
      </w:r>
    </w:p>
    <w:p>
      <w:pPr>
        <w:pStyle w:val="98"/>
        <w:tabs>
          <w:tab w:val="left" w:pos="5665"/>
          <w:tab w:val="right" w:pos="8360"/>
        </w:tabs>
        <w:snapToGrid w:val="0"/>
        <w:spacing w:line="360" w:lineRule="auto"/>
        <w:ind w:right="42" w:firstLine="6000" w:firstLineChars="2500"/>
        <w:textAlignment w:val="baseline"/>
        <w:rPr>
          <w:rFonts w:hAnsi="宋体" w:cs="宋体"/>
          <w:color w:val="000000"/>
          <w:sz w:val="24"/>
        </w:rPr>
      </w:pPr>
      <w:r>
        <w:rPr>
          <w:rFonts w:hint="eastAsia" w:hAnsi="宋体" w:cs="宋体"/>
          <w:color w:val="000000"/>
          <w:sz w:val="24"/>
        </w:rPr>
        <w:t>年      月     日</w:t>
      </w:r>
    </w:p>
    <w:p>
      <w:pPr>
        <w:snapToGrid w:val="0"/>
        <w:jc w:val="center"/>
        <w:textAlignment w:val="baseline"/>
        <w:rPr>
          <w:rFonts w:ascii="宋体" w:hAnsi="宋体" w:cs="宋体"/>
          <w:b/>
          <w:color w:val="000000"/>
          <w:sz w:val="24"/>
          <w:szCs w:val="24"/>
        </w:rPr>
      </w:pPr>
      <w:r>
        <w:rPr>
          <w:rFonts w:hint="eastAsia" w:hAnsi="宋体" w:cs="宋体"/>
          <w:color w:val="000000"/>
          <w:sz w:val="24"/>
        </w:rPr>
        <w:t>10</w:t>
      </w:r>
      <w:r>
        <w:rPr>
          <w:rFonts w:hint="eastAsia" w:ascii="宋体" w:hAnsi="宋体" w:cs="宋体"/>
          <w:b/>
          <w:color w:val="000000"/>
          <w:sz w:val="24"/>
          <w:szCs w:val="24"/>
        </w:rPr>
        <w:t>、磋商响应首次报价明细表（报价明细表中的内容与项目需求一致）</w:t>
      </w:r>
    </w:p>
    <w:p>
      <w:pPr>
        <w:snapToGrid w:val="0"/>
        <w:spacing w:line="420" w:lineRule="exact"/>
        <w:jc w:val="left"/>
        <w:textAlignment w:val="baseline"/>
        <w:rPr>
          <w:rFonts w:cs="宋体"/>
          <w:sz w:val="20"/>
        </w:rPr>
      </w:pPr>
    </w:p>
    <w:p>
      <w:pPr>
        <w:snapToGrid w:val="0"/>
        <w:spacing w:line="420" w:lineRule="exact"/>
        <w:jc w:val="left"/>
        <w:textAlignment w:val="baseline"/>
        <w:rPr>
          <w:sz w:val="24"/>
          <w:szCs w:val="24"/>
        </w:rPr>
      </w:pPr>
      <w:r>
        <w:rPr>
          <w:rFonts w:hint="eastAsia" w:cs="宋体"/>
          <w:sz w:val="24"/>
          <w:szCs w:val="24"/>
        </w:rPr>
        <w:t>项目名称：</w:t>
      </w:r>
      <w:r>
        <w:rPr>
          <w:rFonts w:hint="eastAsia" w:ascii="宋体" w:hAnsi="宋体"/>
          <w:sz w:val="24"/>
          <w:szCs w:val="24"/>
        </w:rPr>
        <w:t>南通市公安局崇川分局陈桥派出所智能枪弹柜、智能单警装备柜采购项目</w:t>
      </w:r>
    </w:p>
    <w:p>
      <w:pPr>
        <w:snapToGrid w:val="0"/>
        <w:spacing w:line="420" w:lineRule="exact"/>
        <w:jc w:val="left"/>
        <w:textAlignment w:val="baseline"/>
        <w:rPr>
          <w:rFonts w:cs="宋体"/>
          <w:sz w:val="24"/>
          <w:szCs w:val="24"/>
        </w:rPr>
      </w:pPr>
      <w:r>
        <w:rPr>
          <w:rFonts w:hint="eastAsia" w:cs="宋体"/>
          <w:sz w:val="24"/>
          <w:szCs w:val="24"/>
        </w:rPr>
        <w:t>项目编号：</w:t>
      </w:r>
    </w:p>
    <w:tbl>
      <w:tblPr>
        <w:tblStyle w:val="51"/>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679"/>
        <w:gridCol w:w="1342"/>
        <w:gridCol w:w="940"/>
        <w:gridCol w:w="1466"/>
        <w:gridCol w:w="148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序号</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产品名称</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highlight w:val="yellow"/>
              </w:rPr>
              <w:t>品牌</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单位</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采购数量</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单价</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textAlignment w:val="baseline"/>
              <w:rPr>
                <w:rFonts w:ascii="宋体" w:hAnsi="宋体"/>
                <w:b/>
                <w:sz w:val="24"/>
                <w:szCs w:val="24"/>
              </w:rPr>
            </w:pPr>
            <w:r>
              <w:rPr>
                <w:rFonts w:hint="eastAsia" w:ascii="宋体" w:hAnsi="宋体"/>
                <w:b/>
                <w:sz w:val="24"/>
                <w:szCs w:val="24"/>
              </w:rPr>
              <w:t>一、</w:t>
            </w:r>
          </w:p>
        </w:tc>
        <w:tc>
          <w:tcPr>
            <w:tcW w:w="86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left"/>
              <w:textAlignment w:val="baseline"/>
              <w:rPr>
                <w:rFonts w:ascii="宋体" w:hAnsi="宋体"/>
                <w:b/>
                <w:sz w:val="24"/>
                <w:szCs w:val="24"/>
              </w:rPr>
            </w:pPr>
            <w:r>
              <w:rPr>
                <w:rFonts w:hint="eastAsia" w:ascii="宋体" w:hAnsi="宋体" w:cs="宋体"/>
                <w:b/>
                <w:bCs/>
                <w:sz w:val="24"/>
                <w:szCs w:val="24"/>
              </w:rPr>
              <w:t>智能枪弹柜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1</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napToGrid w:val="0"/>
              <w:ind w:firstLine="0" w:firstLineChars="0"/>
              <w:jc w:val="center"/>
              <w:textAlignment w:val="baseline"/>
              <w:rPr>
                <w:rFonts w:ascii="宋体" w:hAnsi="宋体"/>
                <w:szCs w:val="24"/>
              </w:rPr>
            </w:pPr>
            <w:r>
              <w:rPr>
                <w:rFonts w:hint="eastAsia" w:ascii="宋体" w:hAnsi="宋体"/>
                <w:szCs w:val="24"/>
              </w:rPr>
              <w:t>智能枪弹柜</w:t>
            </w:r>
          </w:p>
          <w:p>
            <w:pPr>
              <w:pStyle w:val="2"/>
              <w:snapToGrid w:val="0"/>
              <w:ind w:firstLine="0" w:firstLineChars="0"/>
              <w:jc w:val="center"/>
              <w:textAlignment w:val="baseline"/>
              <w:rPr>
                <w:sz w:val="21"/>
              </w:rPr>
            </w:pPr>
            <w:r>
              <w:rPr>
                <w:rFonts w:hint="eastAsia" w:ascii="宋体" w:hAnsi="宋体" w:cs="宋体"/>
                <w:szCs w:val="24"/>
                <w:highlight w:val="magenta"/>
              </w:rPr>
              <w:t>（核心产品）</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sz w:val="24"/>
                <w:szCs w:val="24"/>
              </w:rPr>
              <w:t>套</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sz w:val="24"/>
                <w:szCs w:val="24"/>
              </w:rPr>
              <w:t>1</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2</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sz w:val="24"/>
                <w:szCs w:val="24"/>
              </w:rPr>
              <w:t>智能枪弹控制软件</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sz w:val="24"/>
                <w:szCs w:val="24"/>
              </w:rPr>
              <w:t>套</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sz w:val="24"/>
                <w:szCs w:val="24"/>
              </w:rPr>
              <w:t>1</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7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sz w:val="24"/>
                <w:szCs w:val="24"/>
              </w:rPr>
            </w:pPr>
            <w:r>
              <w:rPr>
                <w:rFonts w:hint="eastAsia"/>
                <w:sz w:val="24"/>
                <w:szCs w:val="24"/>
              </w:rPr>
              <w:t>小计</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sz w:val="24"/>
                <w:szCs w:val="24"/>
              </w:rPr>
            </w:pP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二、</w:t>
            </w:r>
          </w:p>
        </w:tc>
        <w:tc>
          <w:tcPr>
            <w:tcW w:w="86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textAlignment w:val="baseline"/>
              <w:rPr>
                <w:rFonts w:ascii="宋体" w:hAnsi="宋体" w:cs="宋体"/>
                <w:sz w:val="24"/>
                <w:szCs w:val="24"/>
              </w:rPr>
            </w:pPr>
            <w:r>
              <w:rPr>
                <w:rFonts w:hint="eastAsia" w:ascii="宋体" w:hAnsi="宋体" w:cs="宋体"/>
                <w:b/>
                <w:bCs/>
                <w:sz w:val="24"/>
                <w:szCs w:val="24"/>
              </w:rPr>
              <w:t>智能单警装备柜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1</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napToGrid w:val="0"/>
              <w:ind w:firstLine="0" w:firstLineChars="0"/>
              <w:jc w:val="center"/>
              <w:textAlignment w:val="baseline"/>
              <w:rPr>
                <w:rFonts w:ascii="宋体" w:hAnsi="宋体"/>
                <w:szCs w:val="24"/>
              </w:rPr>
            </w:pPr>
            <w:r>
              <w:rPr>
                <w:rFonts w:hint="eastAsia" w:ascii="宋体" w:hAnsi="宋体"/>
                <w:szCs w:val="24"/>
              </w:rPr>
              <w:t>智能装备主柜</w:t>
            </w:r>
          </w:p>
          <w:p>
            <w:pPr>
              <w:pStyle w:val="2"/>
              <w:snapToGrid w:val="0"/>
              <w:ind w:firstLine="0" w:firstLineChars="0"/>
              <w:jc w:val="center"/>
              <w:textAlignment w:val="baseline"/>
              <w:rPr>
                <w:sz w:val="21"/>
              </w:rPr>
            </w:pPr>
            <w:r>
              <w:rPr>
                <w:rFonts w:hint="eastAsia" w:ascii="宋体" w:hAnsi="宋体" w:cs="宋体"/>
                <w:szCs w:val="24"/>
                <w:highlight w:val="magenta"/>
              </w:rPr>
              <w:t>（核心产品）</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940"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textAlignment w:val="baseline"/>
              <w:rPr>
                <w:sz w:val="24"/>
                <w:szCs w:val="24"/>
              </w:rPr>
            </w:pPr>
          </w:p>
          <w:p>
            <w:pPr>
              <w:snapToGrid w:val="0"/>
              <w:jc w:val="center"/>
              <w:textAlignment w:val="baseline"/>
              <w:rPr>
                <w:rFonts w:ascii="宋体" w:hAnsi="宋体" w:cs="宋体"/>
                <w:sz w:val="24"/>
                <w:szCs w:val="24"/>
              </w:rPr>
            </w:pPr>
            <w:r>
              <w:rPr>
                <w:rFonts w:hint="eastAsia"/>
                <w:sz w:val="24"/>
                <w:szCs w:val="24"/>
              </w:rPr>
              <w:t>套</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sz w:val="24"/>
                <w:szCs w:val="24"/>
              </w:rPr>
              <w:t>2</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2</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sz w:val="24"/>
                <w:szCs w:val="24"/>
              </w:rPr>
              <w:t>智能装备从柜</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940"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textAlignment w:val="baseline"/>
              <w:rPr>
                <w:sz w:val="24"/>
                <w:szCs w:val="24"/>
              </w:rPr>
            </w:pPr>
          </w:p>
          <w:p>
            <w:pPr>
              <w:snapToGrid w:val="0"/>
              <w:jc w:val="center"/>
              <w:textAlignment w:val="baseline"/>
              <w:rPr>
                <w:rFonts w:ascii="宋体" w:hAnsi="宋体" w:cs="宋体"/>
                <w:sz w:val="24"/>
                <w:szCs w:val="24"/>
              </w:rPr>
            </w:pPr>
            <w:r>
              <w:rPr>
                <w:rFonts w:hint="eastAsia"/>
                <w:sz w:val="24"/>
                <w:szCs w:val="24"/>
              </w:rPr>
              <w:t>套</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sz w:val="24"/>
                <w:szCs w:val="24"/>
              </w:rPr>
              <w:t>8</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3</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sz w:val="24"/>
                <w:szCs w:val="24"/>
              </w:rPr>
              <w:t>管理软件</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940"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textAlignment w:val="baseline"/>
              <w:rPr>
                <w:sz w:val="24"/>
                <w:szCs w:val="24"/>
              </w:rPr>
            </w:pPr>
          </w:p>
          <w:p>
            <w:pPr>
              <w:snapToGrid w:val="0"/>
              <w:jc w:val="center"/>
              <w:textAlignment w:val="baseline"/>
              <w:rPr>
                <w:rFonts w:ascii="宋体" w:hAnsi="宋体" w:cs="宋体"/>
                <w:sz w:val="24"/>
                <w:szCs w:val="24"/>
              </w:rPr>
            </w:pPr>
            <w:r>
              <w:rPr>
                <w:rFonts w:hint="eastAsia"/>
                <w:sz w:val="24"/>
                <w:szCs w:val="24"/>
              </w:rPr>
              <w:t>套</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sz w:val="24"/>
                <w:szCs w:val="24"/>
              </w:rPr>
              <w:t>1</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7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sz w:val="24"/>
                <w:szCs w:val="24"/>
              </w:rPr>
            </w:pPr>
            <w:r>
              <w:rPr>
                <w:rFonts w:hint="eastAsia"/>
                <w:sz w:val="24"/>
                <w:szCs w:val="24"/>
              </w:rPr>
              <w:t>小计</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sz w:val="24"/>
                <w:szCs w:val="24"/>
              </w:rPr>
            </w:pP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baseline"/>
              <w:rPr>
                <w:rFonts w:ascii="宋体" w:hAnsi="宋体" w:cs="宋体"/>
                <w:sz w:val="24"/>
                <w:szCs w:val="24"/>
              </w:rPr>
            </w:pPr>
            <w:r>
              <w:rPr>
                <w:rFonts w:hint="eastAsia" w:ascii="宋体" w:hAnsi="宋体" w:cs="宋体"/>
                <w:sz w:val="24"/>
                <w:szCs w:val="24"/>
              </w:rPr>
              <w:t>合计</w:t>
            </w:r>
          </w:p>
        </w:tc>
        <w:tc>
          <w:tcPr>
            <w:tcW w:w="86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textAlignment w:val="baseline"/>
              <w:rPr>
                <w:rFonts w:ascii="宋体" w:hAnsi="宋体" w:cs="宋体"/>
                <w:sz w:val="24"/>
                <w:szCs w:val="24"/>
              </w:rPr>
            </w:pPr>
            <w:r>
              <w:rPr>
                <w:rFonts w:hint="eastAsia" w:ascii="宋体" w:hAnsi="宋体" w:cs="宋体"/>
                <w:sz w:val="24"/>
                <w:szCs w:val="24"/>
              </w:rPr>
              <w:t xml:space="preserve">大写：                  小写：               </w:t>
            </w:r>
          </w:p>
        </w:tc>
      </w:tr>
    </w:tbl>
    <w:p>
      <w:pPr>
        <w:pStyle w:val="2"/>
        <w:snapToGrid w:val="0"/>
        <w:ind w:firstLine="0" w:firstLineChars="0"/>
        <w:textAlignment w:val="baseline"/>
        <w:rPr>
          <w:sz w:val="21"/>
          <w:szCs w:val="24"/>
        </w:rPr>
      </w:pPr>
    </w:p>
    <w:p>
      <w:pPr>
        <w:snapToGrid w:val="0"/>
        <w:spacing w:line="420" w:lineRule="exact"/>
        <w:jc w:val="left"/>
        <w:textAlignment w:val="baseline"/>
        <w:rPr>
          <w:rFonts w:hAnsi="宋体" w:cs="宋体"/>
          <w:b/>
          <w:sz w:val="24"/>
        </w:rPr>
      </w:pPr>
      <w:r>
        <w:rPr>
          <w:rFonts w:hint="eastAsia" w:hAnsi="宋体" w:cs="宋体"/>
          <w:b/>
          <w:sz w:val="24"/>
        </w:rPr>
        <w:t>注：1、磋商响应供应商须自行分析项目组成后，详细报出磋商响应首次报价明细表内各组成部分的报价，且本表各项内容报价的总计应当与</w:t>
      </w:r>
      <w:r>
        <w:rPr>
          <w:rFonts w:hint="eastAsia" w:ascii="宋体" w:hAnsi="宋体" w:cs="宋体"/>
          <w:b/>
          <w:color w:val="000000"/>
          <w:sz w:val="24"/>
          <w:szCs w:val="24"/>
        </w:rPr>
        <w:t>磋商响应报价总表</w:t>
      </w:r>
      <w:r>
        <w:rPr>
          <w:rFonts w:hint="eastAsia" w:hAnsi="宋体" w:cs="宋体"/>
          <w:b/>
          <w:sz w:val="24"/>
        </w:rPr>
        <w:t>内的</w:t>
      </w:r>
      <w:r>
        <w:rPr>
          <w:rFonts w:hint="eastAsia" w:ascii="宋体" w:hAnsi="宋体" w:cs="宋体"/>
          <w:b/>
          <w:color w:val="000000"/>
          <w:sz w:val="24"/>
          <w:szCs w:val="24"/>
        </w:rPr>
        <w:t>磋商总价报价（首次）</w:t>
      </w:r>
      <w:r>
        <w:rPr>
          <w:rFonts w:hint="eastAsia" w:hAnsi="宋体" w:cs="宋体"/>
          <w:b/>
          <w:sz w:val="24"/>
        </w:rPr>
        <w:t>相等。</w:t>
      </w:r>
    </w:p>
    <w:p>
      <w:pPr>
        <w:numPr>
          <w:ilvl w:val="0"/>
          <w:numId w:val="5"/>
        </w:numPr>
        <w:snapToGrid w:val="0"/>
        <w:spacing w:line="420" w:lineRule="exact"/>
        <w:ind w:firstLine="482" w:firstLineChars="200"/>
        <w:jc w:val="left"/>
        <w:textAlignment w:val="baseline"/>
        <w:rPr>
          <w:rFonts w:hAnsi="宋体" w:cs="宋体"/>
          <w:b/>
          <w:sz w:val="24"/>
        </w:rPr>
      </w:pPr>
      <w:r>
        <w:rPr>
          <w:rFonts w:hint="eastAsia" w:hAnsi="宋体" w:cs="宋体"/>
          <w:b/>
          <w:sz w:val="24"/>
        </w:rPr>
        <w:t>如果不提供详细分项报价将视为未实质性响应磋商文件要求。</w:t>
      </w:r>
    </w:p>
    <w:p>
      <w:pPr>
        <w:numPr>
          <w:ilvl w:val="0"/>
          <w:numId w:val="5"/>
        </w:numPr>
        <w:snapToGrid w:val="0"/>
        <w:spacing w:line="420" w:lineRule="exact"/>
        <w:ind w:firstLine="482" w:firstLineChars="200"/>
        <w:jc w:val="left"/>
        <w:textAlignment w:val="baseline"/>
        <w:rPr>
          <w:rFonts w:hAnsi="宋体" w:cs="宋体"/>
          <w:b/>
          <w:sz w:val="24"/>
        </w:rPr>
      </w:pPr>
      <w:r>
        <w:rPr>
          <w:rFonts w:hint="eastAsia" w:hAnsi="宋体" w:cs="宋体"/>
          <w:b/>
          <w:sz w:val="24"/>
        </w:rPr>
        <w:t>如果按综合单价计算的结果与总价不一致，以综合单价为准，修正总价。</w:t>
      </w:r>
    </w:p>
    <w:p>
      <w:pPr>
        <w:pStyle w:val="98"/>
        <w:tabs>
          <w:tab w:val="left" w:pos="5665"/>
          <w:tab w:val="right" w:pos="8360"/>
        </w:tabs>
        <w:snapToGrid w:val="0"/>
        <w:spacing w:line="360" w:lineRule="auto"/>
        <w:ind w:right="42" w:firstLine="1560" w:firstLineChars="650"/>
        <w:textAlignment w:val="baseline"/>
        <w:rPr>
          <w:rFonts w:hAnsi="宋体" w:cs="宋体"/>
          <w:sz w:val="24"/>
        </w:rPr>
      </w:pPr>
    </w:p>
    <w:p>
      <w:pPr>
        <w:snapToGrid w:val="0"/>
        <w:spacing w:line="480" w:lineRule="auto"/>
        <w:ind w:right="79" w:firstLine="4800" w:firstLineChars="2000"/>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pStyle w:val="98"/>
        <w:tabs>
          <w:tab w:val="left" w:pos="5665"/>
          <w:tab w:val="right" w:pos="8360"/>
        </w:tabs>
        <w:snapToGrid w:val="0"/>
        <w:spacing w:line="360" w:lineRule="auto"/>
        <w:ind w:right="42" w:firstLine="4800" w:firstLineChars="2000"/>
        <w:textAlignment w:val="baseline"/>
        <w:rPr>
          <w:rFonts w:hAnsi="宋体" w:cs="宋体"/>
          <w:sz w:val="24"/>
          <w:u w:val="single"/>
        </w:rPr>
      </w:pPr>
      <w:r>
        <w:rPr>
          <w:rFonts w:hint="eastAsia" w:hAnsi="宋体" w:cs="宋体"/>
          <w:color w:val="000000"/>
          <w:sz w:val="24"/>
        </w:rPr>
        <w:t>法定代表人或被授权人：（签字或盖章）</w:t>
      </w:r>
    </w:p>
    <w:p>
      <w:pPr>
        <w:snapToGrid w:val="0"/>
        <w:spacing w:line="420" w:lineRule="exact"/>
        <w:jc w:val="center"/>
        <w:textAlignment w:val="baseline"/>
        <w:rPr>
          <w:rFonts w:hAnsi="宋体" w:cs="宋体"/>
          <w:color w:val="000000"/>
          <w:sz w:val="24"/>
        </w:rPr>
        <w:sectPr>
          <w:pgSz w:w="11906" w:h="16838"/>
          <w:pgMar w:top="1361" w:right="1417" w:bottom="1361" w:left="1417" w:header="851" w:footer="992" w:gutter="0"/>
          <w:cols w:space="0" w:num="1"/>
          <w:rtlGutter w:val="0"/>
          <w:docGrid w:linePitch="380" w:charSpace="0"/>
        </w:sectPr>
      </w:pPr>
      <w:r>
        <w:rPr>
          <w:rFonts w:hint="eastAsia" w:hAnsi="宋体" w:cs="宋体"/>
          <w:color w:val="000000"/>
          <w:sz w:val="24"/>
          <w:lang w:val="en-US" w:eastAsia="zh-CN"/>
        </w:rPr>
        <w:t xml:space="preserve">                                      </w:t>
      </w:r>
      <w:r>
        <w:rPr>
          <w:rFonts w:hint="eastAsia" w:hAnsi="宋体" w:cs="宋体"/>
          <w:color w:val="000000"/>
          <w:sz w:val="24"/>
        </w:rPr>
        <w:t xml:space="preserve"> 年      月     日</w:t>
      </w:r>
    </w:p>
    <w:p>
      <w:pPr>
        <w:snapToGrid w:val="0"/>
        <w:textAlignment w:val="baseline"/>
        <w:rPr>
          <w:rFonts w:ascii="宋体" w:hAnsi="宋体" w:cs="宋体"/>
          <w:b/>
          <w:bCs/>
          <w:sz w:val="24"/>
          <w:szCs w:val="24"/>
        </w:rPr>
      </w:pPr>
    </w:p>
    <w:p>
      <w:pPr>
        <w:snapToGrid w:val="0"/>
        <w:spacing w:line="420" w:lineRule="exact"/>
        <w:jc w:val="center"/>
        <w:textAlignment w:val="baseline"/>
        <w:rPr>
          <w:rFonts w:ascii="宋体" w:hAnsi="宋体" w:cs="宋体"/>
          <w:b/>
          <w:bCs/>
          <w:sz w:val="28"/>
          <w:szCs w:val="28"/>
        </w:rPr>
      </w:pPr>
      <w:r>
        <w:rPr>
          <w:rFonts w:hint="eastAsia" w:ascii="宋体" w:hAnsi="宋体" w:cs="宋体"/>
          <w:b/>
          <w:bCs/>
          <w:sz w:val="28"/>
          <w:szCs w:val="28"/>
        </w:rPr>
        <w:t>11、中小企业声明函（格式）</w:t>
      </w:r>
    </w:p>
    <w:p>
      <w:pPr>
        <w:pStyle w:val="2"/>
        <w:snapToGrid w:val="0"/>
        <w:ind w:firstLine="0" w:firstLineChars="0"/>
        <w:textAlignment w:val="baseline"/>
        <w:rPr>
          <w:sz w:val="21"/>
        </w:rPr>
      </w:pPr>
    </w:p>
    <w:p>
      <w:pPr>
        <w:pStyle w:val="19"/>
        <w:snapToGrid w:val="0"/>
        <w:spacing w:line="360" w:lineRule="auto"/>
        <w:ind w:right="415" w:firstLine="640"/>
        <w:textAlignment w:val="baseline"/>
        <w:rPr>
          <w:rFonts w:ascii="宋体" w:hAnsi="宋体" w:cs="宋体"/>
          <w:szCs w:val="24"/>
        </w:rPr>
      </w:pPr>
      <w:r>
        <w:rPr>
          <w:rFonts w:hint="eastAsia" w:ascii="宋体" w:hAnsi="宋体" w:cs="宋体"/>
          <w:szCs w:val="24"/>
        </w:rPr>
        <w:t>本公司郑重声明，根据《政府采购促进中小企业发展管理办法》（财库﹝2020﹞46 号）的规定，本公司参加</w:t>
      </w:r>
      <w:r>
        <w:rPr>
          <w:rFonts w:hint="eastAsia" w:ascii="宋体" w:hAnsi="宋体" w:cs="宋体"/>
          <w:szCs w:val="24"/>
          <w:u w:val="single" w:color="000000"/>
          <w:lang w:eastAsia="zh-CN"/>
        </w:rPr>
        <w:t>南通市公安局</w:t>
      </w:r>
      <w:r>
        <w:rPr>
          <w:rFonts w:hint="eastAsia" w:ascii="宋体" w:hAnsi="宋体" w:cs="微软雅黑"/>
          <w:sz w:val="24"/>
          <w:szCs w:val="24"/>
          <w:u w:val="single" w:color="000000"/>
          <w:lang w:val="en-US" w:eastAsia="zh-CN"/>
        </w:rPr>
        <w:t>崇川分局</w:t>
      </w:r>
      <w:r>
        <w:rPr>
          <w:rFonts w:hint="eastAsia" w:ascii="宋体" w:hAnsi="宋体" w:cs="宋体"/>
          <w:szCs w:val="24"/>
        </w:rPr>
        <w:t>的</w:t>
      </w:r>
      <w:r>
        <w:rPr>
          <w:rFonts w:hint="eastAsia" w:ascii="宋体" w:hAnsi="宋体" w:cs="宋体"/>
          <w:bCs/>
          <w:sz w:val="24"/>
          <w:szCs w:val="24"/>
          <w:u w:val="single" w:color="000000"/>
          <w:lang w:eastAsia="zh-CN"/>
        </w:rPr>
        <w:t>南通市公安局</w:t>
      </w:r>
      <w:r>
        <w:rPr>
          <w:rFonts w:hint="eastAsia" w:ascii="宋体" w:hAnsi="宋体" w:cs="宋体"/>
          <w:bCs/>
          <w:sz w:val="24"/>
          <w:szCs w:val="24"/>
          <w:u w:val="single" w:color="000000"/>
          <w:lang w:val="en-US" w:eastAsia="zh-CN"/>
        </w:rPr>
        <w:t>崇川分局</w:t>
      </w:r>
      <w:r>
        <w:rPr>
          <w:rFonts w:hint="eastAsia" w:ascii="宋体" w:hAnsi="宋体" w:cs="宋体"/>
          <w:szCs w:val="24"/>
          <w:u w:val="single" w:color="000000"/>
          <w:lang w:eastAsia="zh-CN"/>
        </w:rPr>
        <w:t>陈桥派出所智能枪弹柜、智能单警装备柜采购项目</w:t>
      </w:r>
      <w:r>
        <w:rPr>
          <w:rFonts w:hint="eastAsia" w:ascii="宋体" w:hAnsi="宋体" w:cs="宋体"/>
          <w:iCs/>
          <w:szCs w:val="24"/>
        </w:rPr>
        <w:t>采购活动，</w:t>
      </w:r>
      <w:r>
        <w:rPr>
          <w:rFonts w:hint="eastAsia" w:ascii="宋体" w:hAnsi="宋体" w:cs="宋体"/>
          <w:szCs w:val="24"/>
        </w:rPr>
        <w:t>提供的货物全部由符合政策要求的中小企业制造。</w:t>
      </w:r>
      <w:r>
        <w:rPr>
          <w:rFonts w:hint="eastAsia" w:ascii="宋体" w:hAnsi="宋体" w:eastAsia="宋体" w:cs="宋体"/>
          <w:sz w:val="24"/>
          <w:szCs w:val="24"/>
        </w:rPr>
        <w:t>具体情况如下：</w:t>
      </w:r>
    </w:p>
    <w:p>
      <w:pPr>
        <w:pStyle w:val="19"/>
        <w:numPr>
          <w:ilvl w:val="0"/>
          <w:numId w:val="10"/>
        </w:numPr>
        <w:snapToGrid w:val="0"/>
        <w:spacing w:line="360" w:lineRule="auto"/>
        <w:ind w:right="415" w:firstLine="640"/>
        <w:textAlignment w:val="baseline"/>
        <w:rPr>
          <w:rFonts w:hint="eastAsia" w:ascii="宋体" w:hAnsi="宋体" w:cs="宋体"/>
          <w:szCs w:val="24"/>
        </w:rPr>
      </w:pPr>
      <w:r>
        <w:rPr>
          <w:rFonts w:hint="eastAsia" w:ascii="宋体" w:hAnsi="宋体" w:cs="宋体"/>
          <w:szCs w:val="24"/>
          <w:u w:val="single" w:color="000000"/>
          <w:lang w:val="en-US" w:eastAsia="zh-CN"/>
        </w:rPr>
        <w:t xml:space="preserve">             </w:t>
      </w:r>
      <w:r>
        <w:rPr>
          <w:rFonts w:hint="eastAsia" w:ascii="宋体" w:hAnsi="宋体" w:cs="宋体"/>
          <w:iCs/>
          <w:szCs w:val="24"/>
        </w:rPr>
        <w:t xml:space="preserve"> ，属于</w:t>
      </w:r>
      <w:r>
        <w:rPr>
          <w:rFonts w:hint="eastAsia" w:ascii="宋体" w:hAnsi="宋体" w:cs="宋体"/>
          <w:iCs/>
          <w:szCs w:val="24"/>
          <w:u w:val="single" w:color="000000"/>
          <w:lang w:val="en-US" w:eastAsia="zh-CN"/>
        </w:rPr>
        <w:t>工业</w:t>
      </w:r>
      <w:r>
        <w:rPr>
          <w:rFonts w:hint="eastAsia" w:ascii="宋体" w:hAnsi="宋体" w:cs="宋体"/>
          <w:iCs/>
          <w:szCs w:val="24"/>
        </w:rPr>
        <w:t>；制造商为</w:t>
      </w:r>
      <w:r>
        <w:rPr>
          <w:rFonts w:hint="eastAsia" w:ascii="宋体" w:hAnsi="宋体" w:cs="宋体"/>
          <w:iCs/>
          <w:szCs w:val="24"/>
          <w:u w:val="single" w:color="000000"/>
        </w:rPr>
        <w:t>（企业名称）</w:t>
      </w:r>
      <w:r>
        <w:rPr>
          <w:rFonts w:hint="eastAsia" w:ascii="宋体" w:hAnsi="宋体" w:cs="宋体"/>
          <w:iCs/>
          <w:szCs w:val="24"/>
        </w:rPr>
        <w:t>，从业人员</w:t>
      </w:r>
      <w:r>
        <w:rPr>
          <w:rFonts w:hint="eastAsia" w:ascii="宋体" w:hAnsi="宋体" w:cs="宋体"/>
          <w:iCs/>
          <w:szCs w:val="24"/>
          <w:u w:val="single" w:color="000000"/>
        </w:rPr>
        <w:t xml:space="preserve">     </w:t>
      </w:r>
      <w:r>
        <w:rPr>
          <w:rFonts w:hint="eastAsia" w:ascii="宋体" w:hAnsi="宋体" w:cs="宋体"/>
          <w:iCs/>
          <w:szCs w:val="24"/>
        </w:rPr>
        <w:t>人，营业收入为</w:t>
      </w:r>
      <w:r>
        <w:rPr>
          <w:rFonts w:hint="eastAsia" w:ascii="宋体" w:hAnsi="宋体" w:cs="宋体"/>
          <w:iCs/>
          <w:szCs w:val="24"/>
          <w:u w:val="single" w:color="000000"/>
        </w:rPr>
        <w:t xml:space="preserve">     </w:t>
      </w:r>
      <w:r>
        <w:rPr>
          <w:rFonts w:hint="eastAsia" w:ascii="宋体" w:hAnsi="宋体" w:cs="宋体"/>
          <w:iCs/>
          <w:szCs w:val="24"/>
        </w:rPr>
        <w:t>万元，资产总额为</w:t>
      </w:r>
      <w:r>
        <w:rPr>
          <w:rFonts w:hint="eastAsia" w:ascii="宋体" w:hAnsi="宋体" w:cs="宋体"/>
          <w:iCs/>
          <w:szCs w:val="24"/>
          <w:u w:val="single" w:color="000000"/>
        </w:rPr>
        <w:t xml:space="preserve">    </w:t>
      </w:r>
      <w:r>
        <w:rPr>
          <w:rFonts w:hint="eastAsia" w:ascii="宋体" w:hAnsi="宋体" w:cs="宋体"/>
          <w:iCs/>
          <w:szCs w:val="24"/>
        </w:rPr>
        <w:t>万元，属于</w:t>
      </w:r>
      <w:r>
        <w:rPr>
          <w:rFonts w:hint="eastAsia" w:ascii="宋体" w:hAnsi="宋体" w:cs="宋体"/>
          <w:iCs/>
          <w:szCs w:val="24"/>
          <w:u w:val="single" w:color="000000"/>
        </w:rPr>
        <w:t>（中型企业、小型企业、微型企业）</w:t>
      </w:r>
      <w:r>
        <w:rPr>
          <w:rFonts w:hint="eastAsia" w:ascii="宋体" w:hAnsi="宋体" w:cs="宋体"/>
          <w:iCs/>
          <w:szCs w:val="24"/>
        </w:rPr>
        <w:t>；</w:t>
      </w:r>
    </w:p>
    <w:p>
      <w:pPr>
        <w:pStyle w:val="19"/>
        <w:numPr>
          <w:ilvl w:val="0"/>
          <w:numId w:val="10"/>
        </w:numPr>
        <w:snapToGrid w:val="0"/>
        <w:spacing w:line="360" w:lineRule="auto"/>
        <w:ind w:left="0" w:leftChars="0" w:right="415" w:firstLine="640" w:firstLineChars="0"/>
        <w:textAlignment w:val="baseline"/>
        <w:rPr>
          <w:rFonts w:hint="eastAsia" w:ascii="宋体" w:hAnsi="宋体" w:cs="宋体"/>
          <w:iCs/>
          <w:szCs w:val="24"/>
        </w:rPr>
      </w:pPr>
      <w:r>
        <w:rPr>
          <w:rFonts w:hint="eastAsia" w:ascii="宋体" w:hAnsi="宋体" w:cs="宋体"/>
          <w:szCs w:val="24"/>
          <w:u w:val="single" w:color="000000"/>
          <w:lang w:val="en-US" w:eastAsia="zh-CN"/>
        </w:rPr>
        <w:t xml:space="preserve">             </w:t>
      </w:r>
      <w:r>
        <w:rPr>
          <w:rFonts w:hint="eastAsia" w:ascii="宋体" w:hAnsi="宋体" w:cs="宋体"/>
          <w:iCs/>
          <w:szCs w:val="24"/>
        </w:rPr>
        <w:t xml:space="preserve"> ，属于</w:t>
      </w:r>
      <w:r>
        <w:rPr>
          <w:rFonts w:hint="eastAsia" w:ascii="宋体" w:hAnsi="宋体" w:cs="宋体"/>
          <w:iCs/>
          <w:szCs w:val="24"/>
          <w:u w:val="single" w:color="000000"/>
          <w:lang w:val="en-US" w:eastAsia="zh-CN"/>
        </w:rPr>
        <w:t>工业</w:t>
      </w:r>
      <w:r>
        <w:rPr>
          <w:rFonts w:hint="eastAsia" w:ascii="宋体" w:hAnsi="宋体" w:cs="宋体"/>
          <w:iCs/>
          <w:szCs w:val="24"/>
        </w:rPr>
        <w:t>；制造商为</w:t>
      </w:r>
      <w:r>
        <w:rPr>
          <w:rFonts w:hint="eastAsia" w:ascii="宋体" w:hAnsi="宋体" w:cs="宋体"/>
          <w:iCs/>
          <w:szCs w:val="24"/>
          <w:u w:val="single" w:color="000000"/>
        </w:rPr>
        <w:t>（企业名称）</w:t>
      </w:r>
      <w:r>
        <w:rPr>
          <w:rFonts w:hint="eastAsia" w:ascii="宋体" w:hAnsi="宋体" w:cs="宋体"/>
          <w:iCs/>
          <w:szCs w:val="24"/>
        </w:rPr>
        <w:t>，从业人员</w:t>
      </w:r>
      <w:r>
        <w:rPr>
          <w:rFonts w:hint="eastAsia" w:ascii="宋体" w:hAnsi="宋体" w:cs="宋体"/>
          <w:iCs/>
          <w:szCs w:val="24"/>
          <w:u w:val="single" w:color="000000"/>
        </w:rPr>
        <w:t xml:space="preserve">     </w:t>
      </w:r>
      <w:r>
        <w:rPr>
          <w:rFonts w:hint="eastAsia" w:ascii="宋体" w:hAnsi="宋体" w:cs="宋体"/>
          <w:iCs/>
          <w:szCs w:val="24"/>
        </w:rPr>
        <w:t>人，营业收入为</w:t>
      </w:r>
      <w:r>
        <w:rPr>
          <w:rFonts w:hint="eastAsia" w:ascii="宋体" w:hAnsi="宋体" w:cs="宋体"/>
          <w:iCs/>
          <w:szCs w:val="24"/>
          <w:u w:val="single" w:color="000000"/>
        </w:rPr>
        <w:t xml:space="preserve">     </w:t>
      </w:r>
      <w:r>
        <w:rPr>
          <w:rFonts w:hint="eastAsia" w:ascii="宋体" w:hAnsi="宋体" w:cs="宋体"/>
          <w:iCs/>
          <w:szCs w:val="24"/>
        </w:rPr>
        <w:t>万元，资产总额为</w:t>
      </w:r>
      <w:r>
        <w:rPr>
          <w:rFonts w:hint="eastAsia" w:ascii="宋体" w:hAnsi="宋体" w:cs="宋体"/>
          <w:iCs/>
          <w:szCs w:val="24"/>
          <w:u w:val="single" w:color="000000"/>
        </w:rPr>
        <w:t xml:space="preserve">    </w:t>
      </w:r>
      <w:r>
        <w:rPr>
          <w:rFonts w:hint="eastAsia" w:ascii="宋体" w:hAnsi="宋体" w:cs="宋体"/>
          <w:iCs/>
          <w:szCs w:val="24"/>
        </w:rPr>
        <w:t>万元，属于</w:t>
      </w:r>
      <w:r>
        <w:rPr>
          <w:rFonts w:hint="eastAsia" w:ascii="宋体" w:hAnsi="宋体" w:cs="宋体"/>
          <w:iCs/>
          <w:szCs w:val="24"/>
          <w:u w:val="single" w:color="000000"/>
        </w:rPr>
        <w:t>（中型企业、小型企业、微型企业）</w:t>
      </w:r>
      <w:r>
        <w:rPr>
          <w:rFonts w:hint="eastAsia" w:ascii="宋体" w:hAnsi="宋体" w:cs="宋体"/>
          <w:iCs/>
          <w:szCs w:val="24"/>
        </w:rPr>
        <w:t>；</w:t>
      </w:r>
    </w:p>
    <w:p>
      <w:pPr>
        <w:pStyle w:val="62"/>
        <w:numPr>
          <w:ilvl w:val="0"/>
          <w:numId w:val="0"/>
        </w:numPr>
        <w:ind w:leftChars="0"/>
      </w:pPr>
    </w:p>
    <w:p>
      <w:pPr>
        <w:pStyle w:val="19"/>
        <w:keepNext w:val="0"/>
        <w:keepLines w:val="0"/>
        <w:pageBreakBefore w:val="0"/>
        <w:widowControl w:val="0"/>
        <w:kinsoku/>
        <w:wordWrap/>
        <w:overflowPunct/>
        <w:topLinePunct w:val="0"/>
        <w:autoSpaceDE w:val="0"/>
        <w:autoSpaceDN w:val="0"/>
        <w:bidi w:val="0"/>
        <w:adjustRightInd/>
        <w:snapToGrid/>
        <w:spacing w:line="360" w:lineRule="auto"/>
        <w:ind w:left="860"/>
        <w:textAlignment w:val="auto"/>
        <w:rPr>
          <w:rFonts w:hint="eastAsia" w:ascii="宋体" w:hAnsi="宋体" w:eastAsia="宋体" w:cs="宋体"/>
          <w:spacing w:val="-3"/>
          <w:sz w:val="24"/>
          <w:szCs w:val="24"/>
          <w:lang w:eastAsia="zh-CN"/>
        </w:rPr>
      </w:pPr>
      <w:r>
        <w:rPr>
          <w:rFonts w:hint="eastAsia" w:ascii="宋体" w:hAnsi="宋体" w:eastAsia="宋体" w:cs="宋体"/>
          <w:sz w:val="24"/>
          <w:szCs w:val="24"/>
          <w:lang w:eastAsia="zh-CN"/>
        </w:rPr>
        <w:t>……</w:t>
      </w:r>
    </w:p>
    <w:p>
      <w:pPr>
        <w:pStyle w:val="19"/>
        <w:keepNext w:val="0"/>
        <w:keepLines w:val="0"/>
        <w:pageBreakBefore w:val="0"/>
        <w:widowControl w:val="0"/>
        <w:kinsoku/>
        <w:wordWrap/>
        <w:overflowPunct/>
        <w:topLinePunct w:val="0"/>
        <w:autoSpaceDE w:val="0"/>
        <w:autoSpaceDN w:val="0"/>
        <w:bidi w:val="0"/>
        <w:adjustRightInd/>
        <w:snapToGrid w:val="0"/>
        <w:spacing w:line="360" w:lineRule="auto"/>
        <w:ind w:right="417" w:firstLine="645"/>
        <w:jc w:val="both"/>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以上企业，不属于大企业的分支机构，不存在控股股东为大企业的情形，也不存在与大企业的负责人为同一人的情形。</w:t>
      </w:r>
    </w:p>
    <w:p>
      <w:pPr>
        <w:pStyle w:val="19"/>
        <w:keepNext w:val="0"/>
        <w:keepLines w:val="0"/>
        <w:pageBreakBefore w:val="0"/>
        <w:widowControl w:val="0"/>
        <w:kinsoku/>
        <w:wordWrap/>
        <w:overflowPunct/>
        <w:topLinePunct w:val="0"/>
        <w:autoSpaceDE w:val="0"/>
        <w:autoSpaceDN w:val="0"/>
        <w:bidi w:val="0"/>
        <w:adjustRightInd/>
        <w:snapToGrid w:val="0"/>
        <w:spacing w:line="360" w:lineRule="auto"/>
        <w:ind w:right="417" w:firstLine="645"/>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eastAsia="zh-CN"/>
        </w:rPr>
        <w:t>本企业对上述声明内容的真实性负责。如有虚假，将依法承担相应责任。</w:t>
      </w:r>
    </w:p>
    <w:p>
      <w:pPr>
        <w:pStyle w:val="64"/>
      </w:pPr>
    </w:p>
    <w:p>
      <w:pPr>
        <w:pStyle w:val="19"/>
        <w:snapToGrid w:val="0"/>
        <w:spacing w:line="360" w:lineRule="auto"/>
        <w:ind w:right="415" w:firstLine="640"/>
        <w:textAlignment w:val="baseline"/>
        <w:rPr>
          <w:rFonts w:ascii="宋体" w:hAnsi="宋体" w:cs="宋体"/>
          <w:szCs w:val="24"/>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4560" w:firstLineChars="1900"/>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pStyle w:val="19"/>
        <w:keepNext w:val="0"/>
        <w:keepLines w:val="0"/>
        <w:pageBreakBefore w:val="0"/>
        <w:widowControl w:val="0"/>
        <w:kinsoku/>
        <w:wordWrap/>
        <w:overflowPunct/>
        <w:topLinePunct w:val="0"/>
        <w:autoSpaceDE/>
        <w:autoSpaceDN/>
        <w:bidi w:val="0"/>
        <w:adjustRightInd/>
        <w:snapToGrid w:val="0"/>
        <w:spacing w:line="360" w:lineRule="auto"/>
        <w:ind w:right="415" w:firstLine="4564" w:firstLineChars="1902"/>
        <w:textAlignment w:val="baseline"/>
        <w:rPr>
          <w:rFonts w:ascii="宋体" w:hAnsi="宋体" w:cs="宋体"/>
          <w:szCs w:val="24"/>
        </w:rPr>
      </w:pPr>
      <w:r>
        <w:rPr>
          <w:rFonts w:hint="eastAsia" w:ascii="宋体" w:hAnsi="宋体" w:cs="宋体"/>
          <w:color w:val="000000"/>
          <w:sz w:val="24"/>
          <w:szCs w:val="24"/>
        </w:rPr>
        <w:t>法定代表人或被授权人：（签字或盖章）</w:t>
      </w:r>
    </w:p>
    <w:p>
      <w:pPr>
        <w:pStyle w:val="19"/>
        <w:snapToGrid w:val="0"/>
        <w:spacing w:line="360" w:lineRule="auto"/>
        <w:ind w:right="415" w:firstLine="4564" w:firstLineChars="1902"/>
        <w:textAlignment w:val="baseline"/>
        <w:rPr>
          <w:rFonts w:ascii="宋体" w:hAnsi="宋体" w:cs="宋体"/>
          <w:szCs w:val="24"/>
        </w:rPr>
      </w:pPr>
      <w:r>
        <w:rPr>
          <w:rFonts w:hint="eastAsia" w:ascii="宋体" w:hAnsi="宋体" w:cs="宋体"/>
          <w:szCs w:val="24"/>
          <w:lang w:val="en-US" w:eastAsia="zh-CN"/>
        </w:rPr>
        <w:t xml:space="preserve">    </w:t>
      </w:r>
      <w:r>
        <w:rPr>
          <w:rFonts w:hint="eastAsia" w:ascii="宋体" w:hAnsi="宋体" w:cs="宋体"/>
          <w:szCs w:val="24"/>
        </w:rPr>
        <w:t xml:space="preserve">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2" w:firstLineChars="206"/>
        <w:textAlignment w:val="baseline"/>
        <w:rPr>
          <w:sz w:val="20"/>
        </w:rPr>
      </w:pPr>
    </w:p>
    <w:p>
      <w:pPr>
        <w:snapToGrid w:val="0"/>
        <w:spacing w:line="420" w:lineRule="exact"/>
        <w:jc w:val="center"/>
        <w:textAlignment w:val="baseline"/>
        <w:rPr>
          <w:rFonts w:ascii="宋体"/>
          <w:sz w:val="20"/>
          <w:szCs w:val="24"/>
        </w:rPr>
      </w:pPr>
      <w:r>
        <w:rPr>
          <w:b/>
          <w:bCs/>
        </w:rPr>
        <w:t>……</w:t>
      </w:r>
      <w:r>
        <w:rPr>
          <w:rFonts w:hint="eastAsia" w:cs="宋体"/>
          <w:b/>
          <w:bCs/>
        </w:rPr>
        <w:t>全文结束</w:t>
      </w:r>
      <w:r>
        <w:rPr>
          <w:b/>
          <w:bCs/>
        </w:rPr>
        <w:t>……</w:t>
      </w:r>
    </w:p>
    <w:sectPr>
      <w:pgSz w:w="11906" w:h="16838"/>
      <w:pgMar w:top="1361" w:right="1417" w:bottom="1361" w:left="1417" w:header="851" w:footer="992" w:gutter="0"/>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1" w:fontKey="{EA6DBC92-812C-44C3-BB87-D2F5C2572831}"/>
  </w:font>
  <w:font w:name="仿宋">
    <w:panose1 w:val="02010609060101010101"/>
    <w:charset w:val="86"/>
    <w:family w:val="auto"/>
    <w:pitch w:val="default"/>
    <w:sig w:usb0="800002BF" w:usb1="38CF7CFA" w:usb2="00000016" w:usb3="00000000" w:csb0="00040001" w:csb1="00000000"/>
    <w:embedRegular r:id="rId2" w:fontKey="{FE10222A-FE78-488A-9F27-DADE4E940F98}"/>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embedRegular r:id="rId3" w:fontKey="{A790689F-806B-45F5-9147-E67571B536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numPr>
        <w:ilvl w:val="0"/>
        <w:numId w:val="1"/>
      </w:num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1"/>
                            <w:jc w:val="center"/>
                          </w:pPr>
                          <w:r>
                            <w:rPr>
                              <w:b/>
                              <w:bCs/>
                              <w:sz w:val="24"/>
                              <w:szCs w:val="24"/>
                            </w:rPr>
                            <w:fldChar w:fldCharType="begin"/>
                          </w:r>
                          <w:r>
                            <w:rPr>
                              <w:b/>
                              <w:bCs/>
                            </w:rPr>
                            <w:instrText xml:space="preserve">PAGE</w:instrText>
                          </w:r>
                          <w:r>
                            <w:rPr>
                              <w:b/>
                              <w:bCs/>
                              <w:sz w:val="24"/>
                              <w:szCs w:val="24"/>
                            </w:rPr>
                            <w:fldChar w:fldCharType="separate"/>
                          </w:r>
                          <w:r>
                            <w:rPr>
                              <w:b/>
                              <w:bCs/>
                            </w:rPr>
                            <w:t>24</w:t>
                          </w:r>
                          <w:r>
                            <w:rPr>
                              <w:b/>
                              <w:bCs/>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JYIU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ElO4MyIlhZ++v7t9OPX&#10;6edXtgjydNZllHVnKc/3r6APqYGqs7cgPztm4KYWZqeuEaGrlShpvDRUJvdKBxwXQIruLZTUR+w9&#10;RKC+wjYAkhqM0Gk1x/NqVO+ZDC3T5cuLS84kXaUX6XJ5GTuIbCq26PxrBS0LQc6RNh/BxeHW+TCM&#10;yKaU0MvAVjdN3H5j/jqgxOFERfuM1YFKmH7g4fuiH6UpoDwSKYTBWvSwKKgBv3DWka1ybugVcda8&#10;MSRLcOAU4BQUUyCMpMKce86G8MYPTt1b1LuacCfhr0m6rY60wmDDDKPgZJTIdjR1cOL9/5j15yG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FElghQ4CAAAQBAAADgAAAAAAAAABACAAAAAf&#10;AQAAZHJzL2Uyb0RvYy54bWxQSwUGAAAAAAYABgBZAQAAnwUAAAAA&#10;">
              <v:fill on="f" focussize="0,0"/>
              <v:stroke on="f"/>
              <v:imagedata o:title=""/>
              <o:lock v:ext="edit" aspectratio="f"/>
              <v:textbox inset="0mm,0mm,0mm,0mm" style="mso-fit-shape-to-text:t;">
                <w:txbxContent>
                  <w:p>
                    <w:pPr>
                      <w:pStyle w:val="31"/>
                      <w:jc w:val="center"/>
                    </w:pPr>
                    <w:r>
                      <w:rPr>
                        <w:b/>
                        <w:bCs/>
                        <w:sz w:val="24"/>
                        <w:szCs w:val="24"/>
                      </w:rPr>
                      <w:fldChar w:fldCharType="begin"/>
                    </w:r>
                    <w:r>
                      <w:rPr>
                        <w:b/>
                        <w:bCs/>
                      </w:rPr>
                      <w:instrText xml:space="preserve">PAGE</w:instrText>
                    </w:r>
                    <w:r>
                      <w:rPr>
                        <w:b/>
                        <w:bCs/>
                        <w:sz w:val="24"/>
                        <w:szCs w:val="24"/>
                      </w:rPr>
                      <w:fldChar w:fldCharType="separate"/>
                    </w:r>
                    <w:r>
                      <w:rPr>
                        <w:b/>
                        <w:bCs/>
                      </w:rPr>
                      <w:t>24</w:t>
                    </w:r>
                    <w:r>
                      <w:rPr>
                        <w:b/>
                        <w:bCs/>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5"/>
      </w:rPr>
    </w:pPr>
    <w:r>
      <w:fldChar w:fldCharType="begin"/>
    </w:r>
    <w:r>
      <w:rPr>
        <w:rStyle w:val="55"/>
      </w:rPr>
      <w:instrText xml:space="preserve">PAGE  </w:instrTex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numPr>
        <w:ilvl w:val="0"/>
        <w:numId w:val="1"/>
      </w:num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1"/>
                            <w:jc w:val="center"/>
                          </w:pPr>
                          <w:r>
                            <w:rPr>
                              <w:b/>
                              <w:bCs/>
                              <w:sz w:val="24"/>
                              <w:szCs w:val="24"/>
                            </w:rPr>
                            <w:fldChar w:fldCharType="begin"/>
                          </w:r>
                          <w:r>
                            <w:rPr>
                              <w:b/>
                              <w:bCs/>
                            </w:rPr>
                            <w:instrText xml:space="preserve">PAGE</w:instrText>
                          </w:r>
                          <w:r>
                            <w:rPr>
                              <w:b/>
                              <w:bCs/>
                              <w:sz w:val="24"/>
                              <w:szCs w:val="24"/>
                            </w:rPr>
                            <w:fldChar w:fldCharType="separate"/>
                          </w:r>
                          <w:r>
                            <w:rPr>
                              <w:b/>
                              <w:bCs/>
                            </w:rPr>
                            <w:t>24</w:t>
                          </w:r>
                          <w:r>
                            <w:rPr>
                              <w:b/>
                              <w:bCs/>
                              <w:sz w:val="24"/>
                              <w:szCs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ghI9UP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BWdGtLTw0/dvpx+/&#10;Tj+/skWQp7Muo6w7S3m+fwU9mSZSdfYW5GfHDNzUwuzUNSJ0tRIljZeGyuRe6YDjAkjRvYWS+oi9&#10;hwjUV9gG7UgNRui0muN5Nar3TIaW6fLlxSVnkq7Si3S5vIwdRDYVW3T+tYKWhSDnSJuP4OJw63wY&#10;RmRTSuhlYKubJm6/MX8dUOJwoqJ9xupAJUw/8PB90Y/SFFAeiRTCYC16WBTUgF8468hWOTf0ijhr&#10;3hiSJThwCnAKiikQRlJhzj1nQ3jjB6fuLepdTbiT8N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AghI9UPAgAAEAQAAA4AAAAAAAAAAQAgAAAA&#10;HwEAAGRycy9lMm9Eb2MueG1sUEsFBgAAAAAGAAYAWQEAAKAFAAAAAA==&#10;">
              <v:fill on="f" focussize="0,0"/>
              <v:stroke on="f"/>
              <v:imagedata o:title=""/>
              <o:lock v:ext="edit" aspectratio="f"/>
              <v:textbox inset="0mm,0mm,0mm,0mm" style="mso-fit-shape-to-text:t;">
                <w:txbxContent>
                  <w:p>
                    <w:pPr>
                      <w:pStyle w:val="31"/>
                      <w:jc w:val="center"/>
                    </w:pPr>
                    <w:r>
                      <w:rPr>
                        <w:b/>
                        <w:bCs/>
                        <w:sz w:val="24"/>
                        <w:szCs w:val="24"/>
                      </w:rPr>
                      <w:fldChar w:fldCharType="begin"/>
                    </w:r>
                    <w:r>
                      <w:rPr>
                        <w:b/>
                        <w:bCs/>
                      </w:rPr>
                      <w:instrText xml:space="preserve">PAGE</w:instrText>
                    </w:r>
                    <w:r>
                      <w:rPr>
                        <w:b/>
                        <w:bCs/>
                        <w:sz w:val="24"/>
                        <w:szCs w:val="24"/>
                      </w:rPr>
                      <w:fldChar w:fldCharType="separate"/>
                    </w:r>
                    <w:r>
                      <w:rPr>
                        <w:b/>
                        <w:bCs/>
                      </w:rPr>
                      <w:t>24</w:t>
                    </w:r>
                    <w:r>
                      <w:rPr>
                        <w:b/>
                        <w:bCs/>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ordWrap w:val="0"/>
      <w:ind w:right="18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rPr>
        <w:u w:val="single"/>
      </w:rPr>
    </w:pPr>
    <w:r>
      <w:rPr>
        <w:rFonts w:hint="eastAsia"/>
        <w:sz w:val="18"/>
        <w:szCs w:val="18"/>
        <w:u w:val="single"/>
      </w:rPr>
      <w:t>南通市公安局崇川分局</w:t>
    </w:r>
    <w:r>
      <w:rPr>
        <w:rFonts w:hint="eastAsia"/>
        <w:sz w:val="18"/>
        <w:szCs w:val="18"/>
        <w:u w:val="single"/>
        <w:lang w:val="zh-CN"/>
      </w:rPr>
      <w:t>陈桥派出所智能枪弹柜、智能单警装备柜采购项目</w:t>
    </w:r>
    <w:r>
      <w:rPr>
        <w:rFonts w:hint="eastAsia"/>
        <w:sz w:val="18"/>
        <w:szCs w:val="18"/>
        <w:u w:val="single"/>
        <w:lang w:val="en-US" w:eastAsia="zh-CN"/>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62B29"/>
    <w:multiLevelType w:val="singleLevel"/>
    <w:tmpl w:val="9EC62B29"/>
    <w:lvl w:ilvl="0" w:tentative="0">
      <w:start w:val="1"/>
      <w:numFmt w:val="decimal"/>
      <w:suff w:val="space"/>
      <w:lvlText w:val="%1."/>
      <w:lvlJc w:val="left"/>
    </w:lvl>
  </w:abstractNum>
  <w:abstractNum w:abstractNumId="1">
    <w:nsid w:val="C0C844C5"/>
    <w:multiLevelType w:val="singleLevel"/>
    <w:tmpl w:val="C0C844C5"/>
    <w:lvl w:ilvl="0" w:tentative="0">
      <w:start w:val="4"/>
      <w:numFmt w:val="chineseCounting"/>
      <w:suff w:val="space"/>
      <w:lvlText w:val="第%1章"/>
      <w:lvlJc w:val="left"/>
      <w:rPr>
        <w:rFonts w:hint="eastAsia"/>
      </w:rPr>
    </w:lvl>
  </w:abstractNum>
  <w:abstractNum w:abstractNumId="2">
    <w:nsid w:val="D847BD70"/>
    <w:multiLevelType w:val="singleLevel"/>
    <w:tmpl w:val="D847BD70"/>
    <w:lvl w:ilvl="0" w:tentative="0">
      <w:start w:val="1"/>
      <w:numFmt w:val="decimal"/>
      <w:suff w:val="nothing"/>
      <w:lvlText w:val="（%1）"/>
      <w:lvlJc w:val="left"/>
      <w:rPr>
        <w:rFonts w:hint="default"/>
        <w:sz w:val="24"/>
        <w:szCs w:val="24"/>
      </w:rPr>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19B94462"/>
    <w:multiLevelType w:val="singleLevel"/>
    <w:tmpl w:val="19B94462"/>
    <w:lvl w:ilvl="0" w:tentative="0">
      <w:start w:val="1"/>
      <w:numFmt w:val="decimal"/>
      <w:suff w:val="nothing"/>
      <w:lvlText w:val="（%1）"/>
      <w:lvlJc w:val="left"/>
      <w:rPr>
        <w:rFonts w:hint="default"/>
        <w:sz w:val="24"/>
        <w:szCs w:val="24"/>
      </w:rPr>
    </w:lvl>
  </w:abstractNum>
  <w:abstractNum w:abstractNumId="5">
    <w:nsid w:val="20324608"/>
    <w:multiLevelType w:val="multilevel"/>
    <w:tmpl w:val="20324608"/>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0DFDC2"/>
    <w:multiLevelType w:val="singleLevel"/>
    <w:tmpl w:val="2C0DFDC2"/>
    <w:lvl w:ilvl="0" w:tentative="0">
      <w:start w:val="1"/>
      <w:numFmt w:val="decimal"/>
      <w:suff w:val="nothing"/>
      <w:lvlText w:val="%1、"/>
      <w:lvlJc w:val="left"/>
    </w:lvl>
  </w:abstractNum>
  <w:abstractNum w:abstractNumId="7">
    <w:nsid w:val="358A0AB6"/>
    <w:multiLevelType w:val="singleLevel"/>
    <w:tmpl w:val="358A0AB6"/>
    <w:lvl w:ilvl="0" w:tentative="0">
      <w:start w:val="7"/>
      <w:numFmt w:val="chineseCounting"/>
      <w:suff w:val="nothing"/>
      <w:lvlText w:val="%1、"/>
      <w:lvlJc w:val="left"/>
      <w:rPr>
        <w:rFonts w:hint="eastAsia"/>
      </w:rPr>
    </w:lvl>
  </w:abstractNum>
  <w:abstractNum w:abstractNumId="8">
    <w:nsid w:val="532D0D50"/>
    <w:multiLevelType w:val="singleLevel"/>
    <w:tmpl w:val="532D0D50"/>
    <w:lvl w:ilvl="0" w:tentative="0">
      <w:start w:val="3"/>
      <w:numFmt w:val="chineseCounting"/>
      <w:suff w:val="nothing"/>
      <w:lvlText w:val="%1、"/>
      <w:lvlJc w:val="left"/>
      <w:rPr>
        <w:rFonts w:hint="eastAsia"/>
      </w:rPr>
    </w:lvl>
  </w:abstractNum>
  <w:abstractNum w:abstractNumId="9">
    <w:nsid w:val="5A0F3AED"/>
    <w:multiLevelType w:val="singleLevel"/>
    <w:tmpl w:val="5A0F3AED"/>
    <w:lvl w:ilvl="0" w:tentative="0">
      <w:start w:val="1"/>
      <w:numFmt w:val="decimal"/>
      <w:suff w:val="nothing"/>
      <w:lvlText w:val="%1、"/>
      <w:lvlJc w:val="left"/>
    </w:lvl>
  </w:abstractNum>
  <w:num w:numId="1">
    <w:abstractNumId w:val="5"/>
  </w:num>
  <w:num w:numId="2">
    <w:abstractNumId w:val="1"/>
  </w:num>
  <w:num w:numId="3">
    <w:abstractNumId w:val="7"/>
  </w:num>
  <w:num w:numId="4">
    <w:abstractNumId w:val="9"/>
  </w:num>
  <w:num w:numId="5">
    <w:abstractNumId w:val="6"/>
  </w:num>
  <w:num w:numId="6">
    <w:abstractNumId w:val="3"/>
  </w:num>
  <w:num w:numId="7">
    <w:abstractNumId w:val="8"/>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4"/>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C8"/>
    <w:rsid w:val="00014555"/>
    <w:rsid w:val="00014D3E"/>
    <w:rsid w:val="00015852"/>
    <w:rsid w:val="000171B5"/>
    <w:rsid w:val="00031432"/>
    <w:rsid w:val="0004204B"/>
    <w:rsid w:val="00043C4B"/>
    <w:rsid w:val="0004447A"/>
    <w:rsid w:val="00044F1B"/>
    <w:rsid w:val="00046E34"/>
    <w:rsid w:val="00055A11"/>
    <w:rsid w:val="0005698B"/>
    <w:rsid w:val="00060BF6"/>
    <w:rsid w:val="00066A8B"/>
    <w:rsid w:val="00066F9F"/>
    <w:rsid w:val="00070888"/>
    <w:rsid w:val="000748DA"/>
    <w:rsid w:val="00082655"/>
    <w:rsid w:val="00083EDD"/>
    <w:rsid w:val="00084073"/>
    <w:rsid w:val="0008633C"/>
    <w:rsid w:val="00086D36"/>
    <w:rsid w:val="00097B92"/>
    <w:rsid w:val="000A0517"/>
    <w:rsid w:val="000A3061"/>
    <w:rsid w:val="000B1765"/>
    <w:rsid w:val="000B3BE8"/>
    <w:rsid w:val="000B4A07"/>
    <w:rsid w:val="000B5492"/>
    <w:rsid w:val="000C35A8"/>
    <w:rsid w:val="000C36B8"/>
    <w:rsid w:val="000C438C"/>
    <w:rsid w:val="000C4DAF"/>
    <w:rsid w:val="000C6DBB"/>
    <w:rsid w:val="000C7E3C"/>
    <w:rsid w:val="000D5F2E"/>
    <w:rsid w:val="000D6E16"/>
    <w:rsid w:val="000E05F9"/>
    <w:rsid w:val="000E18A8"/>
    <w:rsid w:val="000E441F"/>
    <w:rsid w:val="000F0D29"/>
    <w:rsid w:val="000F6601"/>
    <w:rsid w:val="000F6D29"/>
    <w:rsid w:val="000F7600"/>
    <w:rsid w:val="000F7668"/>
    <w:rsid w:val="000F7EFA"/>
    <w:rsid w:val="0010239A"/>
    <w:rsid w:val="00103896"/>
    <w:rsid w:val="00104F1D"/>
    <w:rsid w:val="0011048A"/>
    <w:rsid w:val="0012494A"/>
    <w:rsid w:val="00126F48"/>
    <w:rsid w:val="001316A0"/>
    <w:rsid w:val="00131947"/>
    <w:rsid w:val="001338B3"/>
    <w:rsid w:val="00141EA3"/>
    <w:rsid w:val="00142BF7"/>
    <w:rsid w:val="00143037"/>
    <w:rsid w:val="00144128"/>
    <w:rsid w:val="00144D3B"/>
    <w:rsid w:val="00145BB9"/>
    <w:rsid w:val="001475FD"/>
    <w:rsid w:val="0014795A"/>
    <w:rsid w:val="001534B9"/>
    <w:rsid w:val="00155F9A"/>
    <w:rsid w:val="00160877"/>
    <w:rsid w:val="001614D9"/>
    <w:rsid w:val="0016555D"/>
    <w:rsid w:val="00167D8F"/>
    <w:rsid w:val="0017106E"/>
    <w:rsid w:val="0017246A"/>
    <w:rsid w:val="00172802"/>
    <w:rsid w:val="00172A27"/>
    <w:rsid w:val="00173A4E"/>
    <w:rsid w:val="00176548"/>
    <w:rsid w:val="00180AB6"/>
    <w:rsid w:val="00181489"/>
    <w:rsid w:val="0018196D"/>
    <w:rsid w:val="00182DC3"/>
    <w:rsid w:val="00184876"/>
    <w:rsid w:val="0019014E"/>
    <w:rsid w:val="00191501"/>
    <w:rsid w:val="00191EAF"/>
    <w:rsid w:val="00193AF5"/>
    <w:rsid w:val="00196531"/>
    <w:rsid w:val="0019745C"/>
    <w:rsid w:val="001A38E9"/>
    <w:rsid w:val="001A5F94"/>
    <w:rsid w:val="001A7767"/>
    <w:rsid w:val="001A7961"/>
    <w:rsid w:val="001B317D"/>
    <w:rsid w:val="001B346E"/>
    <w:rsid w:val="001B3A93"/>
    <w:rsid w:val="001B6AB5"/>
    <w:rsid w:val="001B6E46"/>
    <w:rsid w:val="001C3633"/>
    <w:rsid w:val="001C56D5"/>
    <w:rsid w:val="001C6E37"/>
    <w:rsid w:val="001D1C41"/>
    <w:rsid w:val="001D387F"/>
    <w:rsid w:val="001D3A4E"/>
    <w:rsid w:val="001D7E8C"/>
    <w:rsid w:val="001E0C75"/>
    <w:rsid w:val="001E2670"/>
    <w:rsid w:val="001E3534"/>
    <w:rsid w:val="001E3DA4"/>
    <w:rsid w:val="001E4055"/>
    <w:rsid w:val="001E406E"/>
    <w:rsid w:val="001E5D0C"/>
    <w:rsid w:val="001F00F8"/>
    <w:rsid w:val="001F05DA"/>
    <w:rsid w:val="001F1227"/>
    <w:rsid w:val="001F28A5"/>
    <w:rsid w:val="001F5320"/>
    <w:rsid w:val="00200103"/>
    <w:rsid w:val="00207784"/>
    <w:rsid w:val="00207F85"/>
    <w:rsid w:val="00214B3B"/>
    <w:rsid w:val="002157EF"/>
    <w:rsid w:val="00221271"/>
    <w:rsid w:val="0022676C"/>
    <w:rsid w:val="0023029A"/>
    <w:rsid w:val="00231148"/>
    <w:rsid w:val="00236472"/>
    <w:rsid w:val="0024046E"/>
    <w:rsid w:val="00242ABA"/>
    <w:rsid w:val="00243034"/>
    <w:rsid w:val="002433CE"/>
    <w:rsid w:val="00243A2A"/>
    <w:rsid w:val="00243CCC"/>
    <w:rsid w:val="002465F4"/>
    <w:rsid w:val="002477B7"/>
    <w:rsid w:val="002530ED"/>
    <w:rsid w:val="00253B17"/>
    <w:rsid w:val="002542D0"/>
    <w:rsid w:val="00254B7A"/>
    <w:rsid w:val="002551B3"/>
    <w:rsid w:val="00263465"/>
    <w:rsid w:val="00267C1A"/>
    <w:rsid w:val="00270816"/>
    <w:rsid w:val="00271FB4"/>
    <w:rsid w:val="002720A3"/>
    <w:rsid w:val="00273F9F"/>
    <w:rsid w:val="00274825"/>
    <w:rsid w:val="00277E5E"/>
    <w:rsid w:val="00280BA6"/>
    <w:rsid w:val="00281213"/>
    <w:rsid w:val="002847C8"/>
    <w:rsid w:val="002857D3"/>
    <w:rsid w:val="0028766B"/>
    <w:rsid w:val="0029033F"/>
    <w:rsid w:val="00297F65"/>
    <w:rsid w:val="002A28B9"/>
    <w:rsid w:val="002A2F71"/>
    <w:rsid w:val="002B1DDD"/>
    <w:rsid w:val="002B29B6"/>
    <w:rsid w:val="002B58CE"/>
    <w:rsid w:val="002B5A38"/>
    <w:rsid w:val="002B7746"/>
    <w:rsid w:val="002C557B"/>
    <w:rsid w:val="002D0AB9"/>
    <w:rsid w:val="002D2A8E"/>
    <w:rsid w:val="002D356A"/>
    <w:rsid w:val="002D5929"/>
    <w:rsid w:val="002D5EDC"/>
    <w:rsid w:val="002E42EA"/>
    <w:rsid w:val="002E7131"/>
    <w:rsid w:val="002F19E4"/>
    <w:rsid w:val="002F1F0B"/>
    <w:rsid w:val="002F24E4"/>
    <w:rsid w:val="002F6F9A"/>
    <w:rsid w:val="002F7750"/>
    <w:rsid w:val="003007BA"/>
    <w:rsid w:val="0030246B"/>
    <w:rsid w:val="00302B14"/>
    <w:rsid w:val="00303A7A"/>
    <w:rsid w:val="00306010"/>
    <w:rsid w:val="003108C8"/>
    <w:rsid w:val="0031230D"/>
    <w:rsid w:val="00322DBE"/>
    <w:rsid w:val="00333095"/>
    <w:rsid w:val="00333251"/>
    <w:rsid w:val="00333B38"/>
    <w:rsid w:val="00341435"/>
    <w:rsid w:val="00344CD5"/>
    <w:rsid w:val="00347971"/>
    <w:rsid w:val="00353FBA"/>
    <w:rsid w:val="00354EF2"/>
    <w:rsid w:val="003554AE"/>
    <w:rsid w:val="00355F7D"/>
    <w:rsid w:val="00362C18"/>
    <w:rsid w:val="00364AFE"/>
    <w:rsid w:val="003671B8"/>
    <w:rsid w:val="00372BAE"/>
    <w:rsid w:val="00373238"/>
    <w:rsid w:val="00375550"/>
    <w:rsid w:val="00380488"/>
    <w:rsid w:val="003837EF"/>
    <w:rsid w:val="00384770"/>
    <w:rsid w:val="00386C1E"/>
    <w:rsid w:val="003917B3"/>
    <w:rsid w:val="0039473D"/>
    <w:rsid w:val="00395884"/>
    <w:rsid w:val="00395CA8"/>
    <w:rsid w:val="00395DB1"/>
    <w:rsid w:val="00397DBC"/>
    <w:rsid w:val="003A015C"/>
    <w:rsid w:val="003A22F6"/>
    <w:rsid w:val="003A44B9"/>
    <w:rsid w:val="003A52BE"/>
    <w:rsid w:val="003A57BD"/>
    <w:rsid w:val="003A627C"/>
    <w:rsid w:val="003B4974"/>
    <w:rsid w:val="003B7A24"/>
    <w:rsid w:val="003C116A"/>
    <w:rsid w:val="003C28DD"/>
    <w:rsid w:val="003C3C19"/>
    <w:rsid w:val="003C411F"/>
    <w:rsid w:val="003C562F"/>
    <w:rsid w:val="003E3BE5"/>
    <w:rsid w:val="003E7A44"/>
    <w:rsid w:val="003F1AE5"/>
    <w:rsid w:val="003F2CBA"/>
    <w:rsid w:val="003F2E6E"/>
    <w:rsid w:val="003F3627"/>
    <w:rsid w:val="003F7475"/>
    <w:rsid w:val="003F7A8B"/>
    <w:rsid w:val="004021FE"/>
    <w:rsid w:val="00402AB1"/>
    <w:rsid w:val="00407F55"/>
    <w:rsid w:val="004112D5"/>
    <w:rsid w:val="004132BD"/>
    <w:rsid w:val="00422EC8"/>
    <w:rsid w:val="0042313F"/>
    <w:rsid w:val="00423C95"/>
    <w:rsid w:val="0042768A"/>
    <w:rsid w:val="00441242"/>
    <w:rsid w:val="004415FB"/>
    <w:rsid w:val="004419C2"/>
    <w:rsid w:val="0044764B"/>
    <w:rsid w:val="004509F1"/>
    <w:rsid w:val="004551D2"/>
    <w:rsid w:val="0045771C"/>
    <w:rsid w:val="004617D3"/>
    <w:rsid w:val="0046492F"/>
    <w:rsid w:val="00477557"/>
    <w:rsid w:val="0048012D"/>
    <w:rsid w:val="00481039"/>
    <w:rsid w:val="00483938"/>
    <w:rsid w:val="00485E71"/>
    <w:rsid w:val="0048773F"/>
    <w:rsid w:val="00487985"/>
    <w:rsid w:val="004907BB"/>
    <w:rsid w:val="00496226"/>
    <w:rsid w:val="004A2E7E"/>
    <w:rsid w:val="004A4F35"/>
    <w:rsid w:val="004B24E7"/>
    <w:rsid w:val="004B454F"/>
    <w:rsid w:val="004B6045"/>
    <w:rsid w:val="004B67DE"/>
    <w:rsid w:val="004C3EB6"/>
    <w:rsid w:val="004C42F2"/>
    <w:rsid w:val="004C53FE"/>
    <w:rsid w:val="004C545C"/>
    <w:rsid w:val="004C5BEA"/>
    <w:rsid w:val="004C5F73"/>
    <w:rsid w:val="004C5FFC"/>
    <w:rsid w:val="004D097D"/>
    <w:rsid w:val="004D101A"/>
    <w:rsid w:val="004D6750"/>
    <w:rsid w:val="004D766D"/>
    <w:rsid w:val="004E056B"/>
    <w:rsid w:val="004F514F"/>
    <w:rsid w:val="004F6087"/>
    <w:rsid w:val="004F7F2B"/>
    <w:rsid w:val="0050206D"/>
    <w:rsid w:val="005035E5"/>
    <w:rsid w:val="005108C3"/>
    <w:rsid w:val="0051250E"/>
    <w:rsid w:val="00527CFC"/>
    <w:rsid w:val="00527FDF"/>
    <w:rsid w:val="005314C2"/>
    <w:rsid w:val="0053210D"/>
    <w:rsid w:val="0053283D"/>
    <w:rsid w:val="005342F6"/>
    <w:rsid w:val="00537126"/>
    <w:rsid w:val="00542C79"/>
    <w:rsid w:val="00543603"/>
    <w:rsid w:val="0054534C"/>
    <w:rsid w:val="00547813"/>
    <w:rsid w:val="00553E88"/>
    <w:rsid w:val="00560E87"/>
    <w:rsid w:val="00562EF5"/>
    <w:rsid w:val="00567EB4"/>
    <w:rsid w:val="00570C05"/>
    <w:rsid w:val="00571B34"/>
    <w:rsid w:val="005732C7"/>
    <w:rsid w:val="00573A35"/>
    <w:rsid w:val="00575778"/>
    <w:rsid w:val="0057664F"/>
    <w:rsid w:val="005826A3"/>
    <w:rsid w:val="005853FB"/>
    <w:rsid w:val="00587130"/>
    <w:rsid w:val="00593B36"/>
    <w:rsid w:val="005952F9"/>
    <w:rsid w:val="005973E7"/>
    <w:rsid w:val="005A1E3F"/>
    <w:rsid w:val="005A3CE2"/>
    <w:rsid w:val="005A41F7"/>
    <w:rsid w:val="005A5D0D"/>
    <w:rsid w:val="005C0614"/>
    <w:rsid w:val="005C1924"/>
    <w:rsid w:val="005C33E6"/>
    <w:rsid w:val="005C3935"/>
    <w:rsid w:val="005C5F86"/>
    <w:rsid w:val="005D0372"/>
    <w:rsid w:val="005D2656"/>
    <w:rsid w:val="005D7A3A"/>
    <w:rsid w:val="005D7D36"/>
    <w:rsid w:val="005E047E"/>
    <w:rsid w:val="005E283B"/>
    <w:rsid w:val="005E2853"/>
    <w:rsid w:val="005E3474"/>
    <w:rsid w:val="005E38FF"/>
    <w:rsid w:val="005E557C"/>
    <w:rsid w:val="005F37BC"/>
    <w:rsid w:val="005F7D93"/>
    <w:rsid w:val="00610713"/>
    <w:rsid w:val="00612125"/>
    <w:rsid w:val="006122FA"/>
    <w:rsid w:val="00613EA1"/>
    <w:rsid w:val="0061620D"/>
    <w:rsid w:val="00617432"/>
    <w:rsid w:val="006213A6"/>
    <w:rsid w:val="00621A8A"/>
    <w:rsid w:val="006274C7"/>
    <w:rsid w:val="00627649"/>
    <w:rsid w:val="006330F5"/>
    <w:rsid w:val="0063428D"/>
    <w:rsid w:val="00634600"/>
    <w:rsid w:val="006349AE"/>
    <w:rsid w:val="00634F4D"/>
    <w:rsid w:val="006376E0"/>
    <w:rsid w:val="00637B87"/>
    <w:rsid w:val="00645E4B"/>
    <w:rsid w:val="006537E2"/>
    <w:rsid w:val="006540C7"/>
    <w:rsid w:val="00656832"/>
    <w:rsid w:val="00657201"/>
    <w:rsid w:val="00662E83"/>
    <w:rsid w:val="0066338E"/>
    <w:rsid w:val="006633FE"/>
    <w:rsid w:val="00663DFF"/>
    <w:rsid w:val="00672C56"/>
    <w:rsid w:val="00672DC7"/>
    <w:rsid w:val="00675421"/>
    <w:rsid w:val="00682D28"/>
    <w:rsid w:val="0068583A"/>
    <w:rsid w:val="006872BB"/>
    <w:rsid w:val="00687756"/>
    <w:rsid w:val="00691A51"/>
    <w:rsid w:val="00695AE4"/>
    <w:rsid w:val="00697C6A"/>
    <w:rsid w:val="006A3811"/>
    <w:rsid w:val="006A4FF1"/>
    <w:rsid w:val="006A6B48"/>
    <w:rsid w:val="006B315E"/>
    <w:rsid w:val="006B3EBC"/>
    <w:rsid w:val="006B587C"/>
    <w:rsid w:val="006C05DD"/>
    <w:rsid w:val="006C167F"/>
    <w:rsid w:val="006C30DD"/>
    <w:rsid w:val="006C42F2"/>
    <w:rsid w:val="006C6903"/>
    <w:rsid w:val="006D02D2"/>
    <w:rsid w:val="006D0A99"/>
    <w:rsid w:val="006D1247"/>
    <w:rsid w:val="006D4923"/>
    <w:rsid w:val="006E12AB"/>
    <w:rsid w:val="006E3C6C"/>
    <w:rsid w:val="006E509F"/>
    <w:rsid w:val="006E50FA"/>
    <w:rsid w:val="006E698A"/>
    <w:rsid w:val="006E719D"/>
    <w:rsid w:val="006F103E"/>
    <w:rsid w:val="0070297D"/>
    <w:rsid w:val="00702E21"/>
    <w:rsid w:val="00706954"/>
    <w:rsid w:val="00706A53"/>
    <w:rsid w:val="00711008"/>
    <w:rsid w:val="007140C6"/>
    <w:rsid w:val="007176D8"/>
    <w:rsid w:val="007179CC"/>
    <w:rsid w:val="007237F4"/>
    <w:rsid w:val="007250B1"/>
    <w:rsid w:val="007255A9"/>
    <w:rsid w:val="00726C0F"/>
    <w:rsid w:val="0072741C"/>
    <w:rsid w:val="00732514"/>
    <w:rsid w:val="007328A2"/>
    <w:rsid w:val="007343A6"/>
    <w:rsid w:val="00737CFC"/>
    <w:rsid w:val="00737F37"/>
    <w:rsid w:val="00743D12"/>
    <w:rsid w:val="00744744"/>
    <w:rsid w:val="0075031E"/>
    <w:rsid w:val="00752694"/>
    <w:rsid w:val="007556C4"/>
    <w:rsid w:val="00760084"/>
    <w:rsid w:val="00761113"/>
    <w:rsid w:val="00764C0B"/>
    <w:rsid w:val="00767E89"/>
    <w:rsid w:val="00770BA5"/>
    <w:rsid w:val="00771711"/>
    <w:rsid w:val="00772D7A"/>
    <w:rsid w:val="00773DD5"/>
    <w:rsid w:val="00782574"/>
    <w:rsid w:val="00784150"/>
    <w:rsid w:val="00785545"/>
    <w:rsid w:val="00787994"/>
    <w:rsid w:val="0079317F"/>
    <w:rsid w:val="007A0158"/>
    <w:rsid w:val="007A42DB"/>
    <w:rsid w:val="007A5D21"/>
    <w:rsid w:val="007A5E95"/>
    <w:rsid w:val="007A7EFB"/>
    <w:rsid w:val="007B1D9E"/>
    <w:rsid w:val="007B45F1"/>
    <w:rsid w:val="007B6684"/>
    <w:rsid w:val="007C461C"/>
    <w:rsid w:val="007C55BD"/>
    <w:rsid w:val="007C6611"/>
    <w:rsid w:val="007C6EEA"/>
    <w:rsid w:val="007C737C"/>
    <w:rsid w:val="007D2C33"/>
    <w:rsid w:val="007D46E4"/>
    <w:rsid w:val="007D71DA"/>
    <w:rsid w:val="007E017F"/>
    <w:rsid w:val="007E5AE8"/>
    <w:rsid w:val="007E72BC"/>
    <w:rsid w:val="007F3CC8"/>
    <w:rsid w:val="007F495C"/>
    <w:rsid w:val="00802240"/>
    <w:rsid w:val="00803B2C"/>
    <w:rsid w:val="00804CB0"/>
    <w:rsid w:val="00805F59"/>
    <w:rsid w:val="008064A2"/>
    <w:rsid w:val="00813C0A"/>
    <w:rsid w:val="00815DD9"/>
    <w:rsid w:val="008225A3"/>
    <w:rsid w:val="00822D9D"/>
    <w:rsid w:val="00824DC8"/>
    <w:rsid w:val="008257F2"/>
    <w:rsid w:val="00827168"/>
    <w:rsid w:val="00830769"/>
    <w:rsid w:val="00836439"/>
    <w:rsid w:val="00837907"/>
    <w:rsid w:val="00840EE8"/>
    <w:rsid w:val="00843483"/>
    <w:rsid w:val="00844E44"/>
    <w:rsid w:val="00845518"/>
    <w:rsid w:val="00847A32"/>
    <w:rsid w:val="00851FD7"/>
    <w:rsid w:val="00852A42"/>
    <w:rsid w:val="00853D79"/>
    <w:rsid w:val="00855E6F"/>
    <w:rsid w:val="008623BF"/>
    <w:rsid w:val="008627A8"/>
    <w:rsid w:val="00863E9B"/>
    <w:rsid w:val="008651DD"/>
    <w:rsid w:val="00865ED4"/>
    <w:rsid w:val="0087286B"/>
    <w:rsid w:val="00877EC5"/>
    <w:rsid w:val="00883691"/>
    <w:rsid w:val="008934D5"/>
    <w:rsid w:val="00895C3D"/>
    <w:rsid w:val="00896F95"/>
    <w:rsid w:val="008A0FFF"/>
    <w:rsid w:val="008A282D"/>
    <w:rsid w:val="008A3E0B"/>
    <w:rsid w:val="008A40BB"/>
    <w:rsid w:val="008A46E4"/>
    <w:rsid w:val="008A645C"/>
    <w:rsid w:val="008A671F"/>
    <w:rsid w:val="008B088B"/>
    <w:rsid w:val="008B56B3"/>
    <w:rsid w:val="008B7B78"/>
    <w:rsid w:val="008D0602"/>
    <w:rsid w:val="008D11A0"/>
    <w:rsid w:val="008D2D0E"/>
    <w:rsid w:val="008D3439"/>
    <w:rsid w:val="008D4F67"/>
    <w:rsid w:val="008D64E9"/>
    <w:rsid w:val="008E18D5"/>
    <w:rsid w:val="008E2905"/>
    <w:rsid w:val="008E4356"/>
    <w:rsid w:val="008E4DD7"/>
    <w:rsid w:val="008F32EE"/>
    <w:rsid w:val="008F37FA"/>
    <w:rsid w:val="008F54E0"/>
    <w:rsid w:val="008F5E33"/>
    <w:rsid w:val="008F7252"/>
    <w:rsid w:val="008F75DB"/>
    <w:rsid w:val="008F79EE"/>
    <w:rsid w:val="0090025B"/>
    <w:rsid w:val="009024A7"/>
    <w:rsid w:val="00903439"/>
    <w:rsid w:val="009043B6"/>
    <w:rsid w:val="00904FE2"/>
    <w:rsid w:val="00906AB3"/>
    <w:rsid w:val="00907E06"/>
    <w:rsid w:val="00916CBF"/>
    <w:rsid w:val="009215F3"/>
    <w:rsid w:val="0092247C"/>
    <w:rsid w:val="00925F02"/>
    <w:rsid w:val="0093080E"/>
    <w:rsid w:val="00932919"/>
    <w:rsid w:val="00940423"/>
    <w:rsid w:val="0094125F"/>
    <w:rsid w:val="009433B0"/>
    <w:rsid w:val="0094389C"/>
    <w:rsid w:val="0094410B"/>
    <w:rsid w:val="0094670E"/>
    <w:rsid w:val="00950598"/>
    <w:rsid w:val="00953F4F"/>
    <w:rsid w:val="00953FAD"/>
    <w:rsid w:val="00954976"/>
    <w:rsid w:val="0095677D"/>
    <w:rsid w:val="0095795A"/>
    <w:rsid w:val="009601E7"/>
    <w:rsid w:val="00971B3E"/>
    <w:rsid w:val="009726A7"/>
    <w:rsid w:val="0097298E"/>
    <w:rsid w:val="009736B3"/>
    <w:rsid w:val="009754BE"/>
    <w:rsid w:val="00975E71"/>
    <w:rsid w:val="00977993"/>
    <w:rsid w:val="00977DE1"/>
    <w:rsid w:val="0098468D"/>
    <w:rsid w:val="009874F1"/>
    <w:rsid w:val="00992078"/>
    <w:rsid w:val="009936F3"/>
    <w:rsid w:val="00994876"/>
    <w:rsid w:val="00994A91"/>
    <w:rsid w:val="009A0C8A"/>
    <w:rsid w:val="009A5E11"/>
    <w:rsid w:val="009A65FA"/>
    <w:rsid w:val="009A79AC"/>
    <w:rsid w:val="009B04EE"/>
    <w:rsid w:val="009B1AD5"/>
    <w:rsid w:val="009B4C0A"/>
    <w:rsid w:val="009B5C69"/>
    <w:rsid w:val="009C569E"/>
    <w:rsid w:val="009C774C"/>
    <w:rsid w:val="009C7C8F"/>
    <w:rsid w:val="009D550C"/>
    <w:rsid w:val="009E0BDC"/>
    <w:rsid w:val="009E1242"/>
    <w:rsid w:val="009E7AB4"/>
    <w:rsid w:val="009E7BDC"/>
    <w:rsid w:val="009F0055"/>
    <w:rsid w:val="009F2515"/>
    <w:rsid w:val="009F329A"/>
    <w:rsid w:val="009F6297"/>
    <w:rsid w:val="009F6A5E"/>
    <w:rsid w:val="009F7009"/>
    <w:rsid w:val="009F76D8"/>
    <w:rsid w:val="009F775C"/>
    <w:rsid w:val="009F7CF9"/>
    <w:rsid w:val="00A02647"/>
    <w:rsid w:val="00A04CD0"/>
    <w:rsid w:val="00A05E08"/>
    <w:rsid w:val="00A0608F"/>
    <w:rsid w:val="00A1005B"/>
    <w:rsid w:val="00A117B7"/>
    <w:rsid w:val="00A14683"/>
    <w:rsid w:val="00A14DF8"/>
    <w:rsid w:val="00A17371"/>
    <w:rsid w:val="00A1779B"/>
    <w:rsid w:val="00A238F9"/>
    <w:rsid w:val="00A31528"/>
    <w:rsid w:val="00A326E8"/>
    <w:rsid w:val="00A35811"/>
    <w:rsid w:val="00A36701"/>
    <w:rsid w:val="00A37ED0"/>
    <w:rsid w:val="00A43EB7"/>
    <w:rsid w:val="00A44CFE"/>
    <w:rsid w:val="00A44F34"/>
    <w:rsid w:val="00A45446"/>
    <w:rsid w:val="00A4551A"/>
    <w:rsid w:val="00A46067"/>
    <w:rsid w:val="00A47ECF"/>
    <w:rsid w:val="00A54BD2"/>
    <w:rsid w:val="00A6075F"/>
    <w:rsid w:val="00A614DE"/>
    <w:rsid w:val="00A617CE"/>
    <w:rsid w:val="00A631AD"/>
    <w:rsid w:val="00A73B23"/>
    <w:rsid w:val="00A74D25"/>
    <w:rsid w:val="00A76407"/>
    <w:rsid w:val="00A76ECB"/>
    <w:rsid w:val="00A8074D"/>
    <w:rsid w:val="00A82230"/>
    <w:rsid w:val="00A8368F"/>
    <w:rsid w:val="00A84E80"/>
    <w:rsid w:val="00A85A11"/>
    <w:rsid w:val="00A86F1A"/>
    <w:rsid w:val="00A87905"/>
    <w:rsid w:val="00A912B0"/>
    <w:rsid w:val="00AA0C23"/>
    <w:rsid w:val="00AA14A1"/>
    <w:rsid w:val="00AA17F6"/>
    <w:rsid w:val="00AA21A2"/>
    <w:rsid w:val="00AA568C"/>
    <w:rsid w:val="00AA7309"/>
    <w:rsid w:val="00AB05B3"/>
    <w:rsid w:val="00AB1177"/>
    <w:rsid w:val="00AB3FEE"/>
    <w:rsid w:val="00AB6943"/>
    <w:rsid w:val="00AC3C46"/>
    <w:rsid w:val="00AC63C0"/>
    <w:rsid w:val="00AC7E04"/>
    <w:rsid w:val="00AD1578"/>
    <w:rsid w:val="00AD1D0D"/>
    <w:rsid w:val="00AD5B79"/>
    <w:rsid w:val="00AD642B"/>
    <w:rsid w:val="00AD6DB0"/>
    <w:rsid w:val="00AE6819"/>
    <w:rsid w:val="00AE7044"/>
    <w:rsid w:val="00AE7436"/>
    <w:rsid w:val="00AF2F9C"/>
    <w:rsid w:val="00AF6DFE"/>
    <w:rsid w:val="00B010E0"/>
    <w:rsid w:val="00B031CE"/>
    <w:rsid w:val="00B03609"/>
    <w:rsid w:val="00B038F7"/>
    <w:rsid w:val="00B045CF"/>
    <w:rsid w:val="00B10787"/>
    <w:rsid w:val="00B10EA8"/>
    <w:rsid w:val="00B130F7"/>
    <w:rsid w:val="00B203AA"/>
    <w:rsid w:val="00B20D08"/>
    <w:rsid w:val="00B2607F"/>
    <w:rsid w:val="00B2633E"/>
    <w:rsid w:val="00B324D2"/>
    <w:rsid w:val="00B3272C"/>
    <w:rsid w:val="00B35E68"/>
    <w:rsid w:val="00B40BC2"/>
    <w:rsid w:val="00B41882"/>
    <w:rsid w:val="00B422CC"/>
    <w:rsid w:val="00B426D5"/>
    <w:rsid w:val="00B44342"/>
    <w:rsid w:val="00B45F84"/>
    <w:rsid w:val="00B4612C"/>
    <w:rsid w:val="00B46B1C"/>
    <w:rsid w:val="00B47466"/>
    <w:rsid w:val="00B47CF6"/>
    <w:rsid w:val="00B51E63"/>
    <w:rsid w:val="00B52FA7"/>
    <w:rsid w:val="00B54397"/>
    <w:rsid w:val="00B54AB0"/>
    <w:rsid w:val="00B565FE"/>
    <w:rsid w:val="00B56D3D"/>
    <w:rsid w:val="00B63626"/>
    <w:rsid w:val="00B63956"/>
    <w:rsid w:val="00B67487"/>
    <w:rsid w:val="00B76A23"/>
    <w:rsid w:val="00B809E8"/>
    <w:rsid w:val="00B83024"/>
    <w:rsid w:val="00B84E3F"/>
    <w:rsid w:val="00B92C1F"/>
    <w:rsid w:val="00B977A2"/>
    <w:rsid w:val="00BA575C"/>
    <w:rsid w:val="00BA5F2C"/>
    <w:rsid w:val="00BB4832"/>
    <w:rsid w:val="00BB6336"/>
    <w:rsid w:val="00BB7647"/>
    <w:rsid w:val="00BB7931"/>
    <w:rsid w:val="00BC306F"/>
    <w:rsid w:val="00BC41A6"/>
    <w:rsid w:val="00BD1973"/>
    <w:rsid w:val="00BD277A"/>
    <w:rsid w:val="00BD432D"/>
    <w:rsid w:val="00BD75DD"/>
    <w:rsid w:val="00BE36F4"/>
    <w:rsid w:val="00BE4032"/>
    <w:rsid w:val="00BE6EDB"/>
    <w:rsid w:val="00BF1A5D"/>
    <w:rsid w:val="00C038A7"/>
    <w:rsid w:val="00C044D8"/>
    <w:rsid w:val="00C07D0E"/>
    <w:rsid w:val="00C24E39"/>
    <w:rsid w:val="00C270A2"/>
    <w:rsid w:val="00C301CC"/>
    <w:rsid w:val="00C30800"/>
    <w:rsid w:val="00C31EE1"/>
    <w:rsid w:val="00C35B9F"/>
    <w:rsid w:val="00C3675E"/>
    <w:rsid w:val="00C36FD3"/>
    <w:rsid w:val="00C40589"/>
    <w:rsid w:val="00C40B85"/>
    <w:rsid w:val="00C434C2"/>
    <w:rsid w:val="00C45806"/>
    <w:rsid w:val="00C51019"/>
    <w:rsid w:val="00C51FD3"/>
    <w:rsid w:val="00C57381"/>
    <w:rsid w:val="00C60949"/>
    <w:rsid w:val="00C61F64"/>
    <w:rsid w:val="00C6223C"/>
    <w:rsid w:val="00C62B18"/>
    <w:rsid w:val="00C6374B"/>
    <w:rsid w:val="00C659C3"/>
    <w:rsid w:val="00C65ED0"/>
    <w:rsid w:val="00C71194"/>
    <w:rsid w:val="00C73FCA"/>
    <w:rsid w:val="00C747FB"/>
    <w:rsid w:val="00C800F2"/>
    <w:rsid w:val="00C80A41"/>
    <w:rsid w:val="00C84A93"/>
    <w:rsid w:val="00C85227"/>
    <w:rsid w:val="00C95DFA"/>
    <w:rsid w:val="00CA1CE2"/>
    <w:rsid w:val="00CA20A1"/>
    <w:rsid w:val="00CA3ED2"/>
    <w:rsid w:val="00CB03F3"/>
    <w:rsid w:val="00CB3B9F"/>
    <w:rsid w:val="00CB677B"/>
    <w:rsid w:val="00CB7518"/>
    <w:rsid w:val="00CB770B"/>
    <w:rsid w:val="00CC00B5"/>
    <w:rsid w:val="00CC5AD5"/>
    <w:rsid w:val="00CD3DDE"/>
    <w:rsid w:val="00CE0387"/>
    <w:rsid w:val="00CE2414"/>
    <w:rsid w:val="00D003BD"/>
    <w:rsid w:val="00D004F6"/>
    <w:rsid w:val="00D05331"/>
    <w:rsid w:val="00D11949"/>
    <w:rsid w:val="00D135A1"/>
    <w:rsid w:val="00D159D3"/>
    <w:rsid w:val="00D16603"/>
    <w:rsid w:val="00D16FBB"/>
    <w:rsid w:val="00D23D79"/>
    <w:rsid w:val="00D2653F"/>
    <w:rsid w:val="00D30441"/>
    <w:rsid w:val="00D3054A"/>
    <w:rsid w:val="00D3246E"/>
    <w:rsid w:val="00D33042"/>
    <w:rsid w:val="00D35EE5"/>
    <w:rsid w:val="00D36656"/>
    <w:rsid w:val="00D3717B"/>
    <w:rsid w:val="00D40782"/>
    <w:rsid w:val="00D429BF"/>
    <w:rsid w:val="00D51858"/>
    <w:rsid w:val="00D53AEF"/>
    <w:rsid w:val="00D55ED9"/>
    <w:rsid w:val="00D606DC"/>
    <w:rsid w:val="00D65117"/>
    <w:rsid w:val="00D71143"/>
    <w:rsid w:val="00D71C4D"/>
    <w:rsid w:val="00D73476"/>
    <w:rsid w:val="00D7351E"/>
    <w:rsid w:val="00D7743C"/>
    <w:rsid w:val="00D77B4A"/>
    <w:rsid w:val="00D82984"/>
    <w:rsid w:val="00D83F14"/>
    <w:rsid w:val="00D85EBE"/>
    <w:rsid w:val="00D86F05"/>
    <w:rsid w:val="00D90EC7"/>
    <w:rsid w:val="00D91103"/>
    <w:rsid w:val="00DA7F3C"/>
    <w:rsid w:val="00DB38C3"/>
    <w:rsid w:val="00DB38DC"/>
    <w:rsid w:val="00DB442B"/>
    <w:rsid w:val="00DC28C4"/>
    <w:rsid w:val="00DC450E"/>
    <w:rsid w:val="00DC4B88"/>
    <w:rsid w:val="00DC5453"/>
    <w:rsid w:val="00DC7235"/>
    <w:rsid w:val="00DC7340"/>
    <w:rsid w:val="00DD0F0C"/>
    <w:rsid w:val="00DD3CB0"/>
    <w:rsid w:val="00DD5FB4"/>
    <w:rsid w:val="00DD6933"/>
    <w:rsid w:val="00DE0C57"/>
    <w:rsid w:val="00DE28DA"/>
    <w:rsid w:val="00DE3006"/>
    <w:rsid w:val="00DF0450"/>
    <w:rsid w:val="00DF379E"/>
    <w:rsid w:val="00DF6D04"/>
    <w:rsid w:val="00E02552"/>
    <w:rsid w:val="00E05ADF"/>
    <w:rsid w:val="00E07718"/>
    <w:rsid w:val="00E07F00"/>
    <w:rsid w:val="00E1186A"/>
    <w:rsid w:val="00E12F65"/>
    <w:rsid w:val="00E1485E"/>
    <w:rsid w:val="00E150D6"/>
    <w:rsid w:val="00E15528"/>
    <w:rsid w:val="00E230B3"/>
    <w:rsid w:val="00E26662"/>
    <w:rsid w:val="00E3047A"/>
    <w:rsid w:val="00E3403E"/>
    <w:rsid w:val="00E3436D"/>
    <w:rsid w:val="00E36AE4"/>
    <w:rsid w:val="00E40848"/>
    <w:rsid w:val="00E4773C"/>
    <w:rsid w:val="00E52B71"/>
    <w:rsid w:val="00E53DA1"/>
    <w:rsid w:val="00E5427A"/>
    <w:rsid w:val="00E553A8"/>
    <w:rsid w:val="00E562C6"/>
    <w:rsid w:val="00E57886"/>
    <w:rsid w:val="00E64ADE"/>
    <w:rsid w:val="00E65617"/>
    <w:rsid w:val="00E65D97"/>
    <w:rsid w:val="00E705E5"/>
    <w:rsid w:val="00E71065"/>
    <w:rsid w:val="00E71970"/>
    <w:rsid w:val="00E73545"/>
    <w:rsid w:val="00E744BB"/>
    <w:rsid w:val="00E745E1"/>
    <w:rsid w:val="00E75FF2"/>
    <w:rsid w:val="00E774E7"/>
    <w:rsid w:val="00E810B3"/>
    <w:rsid w:val="00E82EC4"/>
    <w:rsid w:val="00E90C13"/>
    <w:rsid w:val="00E95E04"/>
    <w:rsid w:val="00E96C19"/>
    <w:rsid w:val="00E96D19"/>
    <w:rsid w:val="00E97C34"/>
    <w:rsid w:val="00EA0157"/>
    <w:rsid w:val="00EA3AF8"/>
    <w:rsid w:val="00EB2718"/>
    <w:rsid w:val="00EB3CA0"/>
    <w:rsid w:val="00EB4D33"/>
    <w:rsid w:val="00EB5EE8"/>
    <w:rsid w:val="00EB629A"/>
    <w:rsid w:val="00EC035F"/>
    <w:rsid w:val="00EC09A2"/>
    <w:rsid w:val="00EC1F58"/>
    <w:rsid w:val="00EC2E85"/>
    <w:rsid w:val="00EC3C07"/>
    <w:rsid w:val="00EC51EF"/>
    <w:rsid w:val="00EC7638"/>
    <w:rsid w:val="00ED36FB"/>
    <w:rsid w:val="00ED3C4E"/>
    <w:rsid w:val="00ED6BE4"/>
    <w:rsid w:val="00EE1E45"/>
    <w:rsid w:val="00EE2F39"/>
    <w:rsid w:val="00EE7A14"/>
    <w:rsid w:val="00EF048C"/>
    <w:rsid w:val="00F00640"/>
    <w:rsid w:val="00F02CCE"/>
    <w:rsid w:val="00F13C09"/>
    <w:rsid w:val="00F176A0"/>
    <w:rsid w:val="00F17FE1"/>
    <w:rsid w:val="00F25EAC"/>
    <w:rsid w:val="00F272A5"/>
    <w:rsid w:val="00F27918"/>
    <w:rsid w:val="00F27CB5"/>
    <w:rsid w:val="00F27E06"/>
    <w:rsid w:val="00F30372"/>
    <w:rsid w:val="00F3199A"/>
    <w:rsid w:val="00F32D3B"/>
    <w:rsid w:val="00F35A7C"/>
    <w:rsid w:val="00F508BC"/>
    <w:rsid w:val="00F530B0"/>
    <w:rsid w:val="00F53149"/>
    <w:rsid w:val="00F53A46"/>
    <w:rsid w:val="00F545F7"/>
    <w:rsid w:val="00F54768"/>
    <w:rsid w:val="00F70D79"/>
    <w:rsid w:val="00F71ECE"/>
    <w:rsid w:val="00F74BED"/>
    <w:rsid w:val="00F828F5"/>
    <w:rsid w:val="00F83F15"/>
    <w:rsid w:val="00F83FE3"/>
    <w:rsid w:val="00F844C7"/>
    <w:rsid w:val="00F8628E"/>
    <w:rsid w:val="00F877E0"/>
    <w:rsid w:val="00F90AEA"/>
    <w:rsid w:val="00F90B3D"/>
    <w:rsid w:val="00F93F05"/>
    <w:rsid w:val="00F9403F"/>
    <w:rsid w:val="00F950DA"/>
    <w:rsid w:val="00F9510F"/>
    <w:rsid w:val="00F955C6"/>
    <w:rsid w:val="00F95940"/>
    <w:rsid w:val="00F96457"/>
    <w:rsid w:val="00F97688"/>
    <w:rsid w:val="00F97D36"/>
    <w:rsid w:val="00FA3BF8"/>
    <w:rsid w:val="00FA5986"/>
    <w:rsid w:val="00FA78A4"/>
    <w:rsid w:val="00FB017C"/>
    <w:rsid w:val="00FB423A"/>
    <w:rsid w:val="00FB5E9B"/>
    <w:rsid w:val="00FB73FC"/>
    <w:rsid w:val="00FC0801"/>
    <w:rsid w:val="00FC2673"/>
    <w:rsid w:val="00FC30F9"/>
    <w:rsid w:val="00FD12B9"/>
    <w:rsid w:val="00FD1483"/>
    <w:rsid w:val="00FD6299"/>
    <w:rsid w:val="00FD68E4"/>
    <w:rsid w:val="00FE0EC7"/>
    <w:rsid w:val="00FE1C93"/>
    <w:rsid w:val="00FE26BD"/>
    <w:rsid w:val="00FE3E9D"/>
    <w:rsid w:val="00FE6562"/>
    <w:rsid w:val="00FF2058"/>
    <w:rsid w:val="01451617"/>
    <w:rsid w:val="01D02AB2"/>
    <w:rsid w:val="01D10199"/>
    <w:rsid w:val="01F5424D"/>
    <w:rsid w:val="01FD2552"/>
    <w:rsid w:val="02004435"/>
    <w:rsid w:val="025C2EDE"/>
    <w:rsid w:val="026537B5"/>
    <w:rsid w:val="02800A25"/>
    <w:rsid w:val="02A85560"/>
    <w:rsid w:val="02CF585A"/>
    <w:rsid w:val="02ED2D49"/>
    <w:rsid w:val="03101707"/>
    <w:rsid w:val="032701A1"/>
    <w:rsid w:val="03BD2ACA"/>
    <w:rsid w:val="04615299"/>
    <w:rsid w:val="046E395C"/>
    <w:rsid w:val="04C235F5"/>
    <w:rsid w:val="04D83494"/>
    <w:rsid w:val="04DC12A2"/>
    <w:rsid w:val="06086FD0"/>
    <w:rsid w:val="06103301"/>
    <w:rsid w:val="0619673F"/>
    <w:rsid w:val="063662D2"/>
    <w:rsid w:val="063E0B69"/>
    <w:rsid w:val="0640290E"/>
    <w:rsid w:val="064C21D9"/>
    <w:rsid w:val="06C41A3A"/>
    <w:rsid w:val="07004918"/>
    <w:rsid w:val="077913F5"/>
    <w:rsid w:val="07B37B02"/>
    <w:rsid w:val="07CA0837"/>
    <w:rsid w:val="087758AF"/>
    <w:rsid w:val="08B22987"/>
    <w:rsid w:val="08BB6E9E"/>
    <w:rsid w:val="09095D4D"/>
    <w:rsid w:val="09BB5D06"/>
    <w:rsid w:val="0A01008C"/>
    <w:rsid w:val="0A556B74"/>
    <w:rsid w:val="0A7229E5"/>
    <w:rsid w:val="0A9A5594"/>
    <w:rsid w:val="0AFC246D"/>
    <w:rsid w:val="0AFD169B"/>
    <w:rsid w:val="0B2C4086"/>
    <w:rsid w:val="0B5415B7"/>
    <w:rsid w:val="0B783959"/>
    <w:rsid w:val="0B8F1178"/>
    <w:rsid w:val="0BD77F0B"/>
    <w:rsid w:val="0C313D73"/>
    <w:rsid w:val="0D7C1E8D"/>
    <w:rsid w:val="0D9D328F"/>
    <w:rsid w:val="0DDE36D9"/>
    <w:rsid w:val="0DED31C6"/>
    <w:rsid w:val="0E6F2A74"/>
    <w:rsid w:val="0ECA6638"/>
    <w:rsid w:val="0F24605B"/>
    <w:rsid w:val="0F6B354D"/>
    <w:rsid w:val="0F9A44A5"/>
    <w:rsid w:val="101E60DA"/>
    <w:rsid w:val="103462E3"/>
    <w:rsid w:val="10B912E4"/>
    <w:rsid w:val="10DB6B98"/>
    <w:rsid w:val="10E80875"/>
    <w:rsid w:val="11103FC0"/>
    <w:rsid w:val="1133517F"/>
    <w:rsid w:val="11B80C84"/>
    <w:rsid w:val="11BC0B69"/>
    <w:rsid w:val="11BF43E1"/>
    <w:rsid w:val="11FB17D7"/>
    <w:rsid w:val="12100B43"/>
    <w:rsid w:val="12184060"/>
    <w:rsid w:val="121D057C"/>
    <w:rsid w:val="12517251"/>
    <w:rsid w:val="1258460F"/>
    <w:rsid w:val="12B856C1"/>
    <w:rsid w:val="12E70038"/>
    <w:rsid w:val="12F639E2"/>
    <w:rsid w:val="134C165B"/>
    <w:rsid w:val="13E74406"/>
    <w:rsid w:val="13FB6919"/>
    <w:rsid w:val="145345D0"/>
    <w:rsid w:val="148A4D9B"/>
    <w:rsid w:val="14C91C4B"/>
    <w:rsid w:val="14ED07AC"/>
    <w:rsid w:val="162967FA"/>
    <w:rsid w:val="16374A66"/>
    <w:rsid w:val="16E33E1C"/>
    <w:rsid w:val="16E81AF3"/>
    <w:rsid w:val="170027F3"/>
    <w:rsid w:val="171811CF"/>
    <w:rsid w:val="171827FE"/>
    <w:rsid w:val="172D632D"/>
    <w:rsid w:val="18D95D07"/>
    <w:rsid w:val="193E71D4"/>
    <w:rsid w:val="195214A9"/>
    <w:rsid w:val="19D468B0"/>
    <w:rsid w:val="19DB6CBF"/>
    <w:rsid w:val="19DE234E"/>
    <w:rsid w:val="19F333F8"/>
    <w:rsid w:val="1A0F731A"/>
    <w:rsid w:val="1A2B1015"/>
    <w:rsid w:val="1A7F6ECD"/>
    <w:rsid w:val="1AB941AF"/>
    <w:rsid w:val="1AC15EAE"/>
    <w:rsid w:val="1AE45B83"/>
    <w:rsid w:val="1AF15D01"/>
    <w:rsid w:val="1AFC093E"/>
    <w:rsid w:val="1B4E4CA2"/>
    <w:rsid w:val="1B5C79CB"/>
    <w:rsid w:val="1B751D18"/>
    <w:rsid w:val="1BA55066"/>
    <w:rsid w:val="1BC85627"/>
    <w:rsid w:val="1BE57BCC"/>
    <w:rsid w:val="1C140ED2"/>
    <w:rsid w:val="1C2A4725"/>
    <w:rsid w:val="1C3A6F38"/>
    <w:rsid w:val="1C54798F"/>
    <w:rsid w:val="1C567084"/>
    <w:rsid w:val="1C787805"/>
    <w:rsid w:val="1CA46814"/>
    <w:rsid w:val="1CA94465"/>
    <w:rsid w:val="1CAA7B42"/>
    <w:rsid w:val="1CEF08F7"/>
    <w:rsid w:val="1D115B20"/>
    <w:rsid w:val="1D1D3848"/>
    <w:rsid w:val="1D5559C4"/>
    <w:rsid w:val="1D8C49B3"/>
    <w:rsid w:val="1D9221AE"/>
    <w:rsid w:val="1DC72373"/>
    <w:rsid w:val="1E846710"/>
    <w:rsid w:val="1EBB6EF2"/>
    <w:rsid w:val="1F095BCD"/>
    <w:rsid w:val="1F2456F6"/>
    <w:rsid w:val="1F4D279E"/>
    <w:rsid w:val="1F6A5B44"/>
    <w:rsid w:val="1FA61124"/>
    <w:rsid w:val="203F7481"/>
    <w:rsid w:val="206F0830"/>
    <w:rsid w:val="210E560A"/>
    <w:rsid w:val="213C07C4"/>
    <w:rsid w:val="21861171"/>
    <w:rsid w:val="21B10112"/>
    <w:rsid w:val="21B22BDC"/>
    <w:rsid w:val="21E203CA"/>
    <w:rsid w:val="21E679B2"/>
    <w:rsid w:val="21FC51D8"/>
    <w:rsid w:val="2273010A"/>
    <w:rsid w:val="22795133"/>
    <w:rsid w:val="22EC602D"/>
    <w:rsid w:val="22F7543C"/>
    <w:rsid w:val="232048D5"/>
    <w:rsid w:val="235264F6"/>
    <w:rsid w:val="23941C99"/>
    <w:rsid w:val="239C641C"/>
    <w:rsid w:val="23B11D92"/>
    <w:rsid w:val="24126235"/>
    <w:rsid w:val="244C1094"/>
    <w:rsid w:val="24A56879"/>
    <w:rsid w:val="257A7096"/>
    <w:rsid w:val="25924D78"/>
    <w:rsid w:val="25B674B8"/>
    <w:rsid w:val="25D64E62"/>
    <w:rsid w:val="2618211C"/>
    <w:rsid w:val="265A188F"/>
    <w:rsid w:val="26883498"/>
    <w:rsid w:val="26973388"/>
    <w:rsid w:val="26A81875"/>
    <w:rsid w:val="26E21B4F"/>
    <w:rsid w:val="26E8774E"/>
    <w:rsid w:val="26FF14E1"/>
    <w:rsid w:val="272F4F6B"/>
    <w:rsid w:val="273B190E"/>
    <w:rsid w:val="27831DB0"/>
    <w:rsid w:val="27977392"/>
    <w:rsid w:val="27A157A3"/>
    <w:rsid w:val="27BE3246"/>
    <w:rsid w:val="27E34B2E"/>
    <w:rsid w:val="28571067"/>
    <w:rsid w:val="2859424B"/>
    <w:rsid w:val="28846FF5"/>
    <w:rsid w:val="28EA700D"/>
    <w:rsid w:val="290A3FC7"/>
    <w:rsid w:val="29331B25"/>
    <w:rsid w:val="2956362B"/>
    <w:rsid w:val="29C17552"/>
    <w:rsid w:val="29E40A37"/>
    <w:rsid w:val="2A051470"/>
    <w:rsid w:val="2A661171"/>
    <w:rsid w:val="2AD95982"/>
    <w:rsid w:val="2B003A53"/>
    <w:rsid w:val="2B0652AD"/>
    <w:rsid w:val="2B580AE3"/>
    <w:rsid w:val="2BEC5DDC"/>
    <w:rsid w:val="2C3867CC"/>
    <w:rsid w:val="2C6572D5"/>
    <w:rsid w:val="2CB1161A"/>
    <w:rsid w:val="2CD32A13"/>
    <w:rsid w:val="2CD44890"/>
    <w:rsid w:val="2CFC09A9"/>
    <w:rsid w:val="2D41483A"/>
    <w:rsid w:val="2E523860"/>
    <w:rsid w:val="2E6921FA"/>
    <w:rsid w:val="2E805C69"/>
    <w:rsid w:val="2E833361"/>
    <w:rsid w:val="2E8F7BAD"/>
    <w:rsid w:val="2E985BCC"/>
    <w:rsid w:val="2EBE0EC2"/>
    <w:rsid w:val="2ED93B14"/>
    <w:rsid w:val="2F2453BB"/>
    <w:rsid w:val="2F5505BD"/>
    <w:rsid w:val="2F8730B0"/>
    <w:rsid w:val="2F970C56"/>
    <w:rsid w:val="2FC36919"/>
    <w:rsid w:val="2FEA7B98"/>
    <w:rsid w:val="3061646A"/>
    <w:rsid w:val="30C554D9"/>
    <w:rsid w:val="30D048DF"/>
    <w:rsid w:val="30D129AB"/>
    <w:rsid w:val="3156092A"/>
    <w:rsid w:val="317A6C42"/>
    <w:rsid w:val="31D93881"/>
    <w:rsid w:val="320F4BFD"/>
    <w:rsid w:val="3289385C"/>
    <w:rsid w:val="33081B36"/>
    <w:rsid w:val="3310790D"/>
    <w:rsid w:val="334272A8"/>
    <w:rsid w:val="33586544"/>
    <w:rsid w:val="33C85EFB"/>
    <w:rsid w:val="34473832"/>
    <w:rsid w:val="3494403D"/>
    <w:rsid w:val="34947AC8"/>
    <w:rsid w:val="34A71EA8"/>
    <w:rsid w:val="34C21635"/>
    <w:rsid w:val="34CA6468"/>
    <w:rsid w:val="34E1358D"/>
    <w:rsid w:val="34F86E65"/>
    <w:rsid w:val="35134CA0"/>
    <w:rsid w:val="3524432B"/>
    <w:rsid w:val="352923F9"/>
    <w:rsid w:val="35A22390"/>
    <w:rsid w:val="35E33E96"/>
    <w:rsid w:val="35F049E2"/>
    <w:rsid w:val="36214303"/>
    <w:rsid w:val="362C5372"/>
    <w:rsid w:val="365340B6"/>
    <w:rsid w:val="36983660"/>
    <w:rsid w:val="36A05FCF"/>
    <w:rsid w:val="372F21F8"/>
    <w:rsid w:val="375A10AE"/>
    <w:rsid w:val="375F18CE"/>
    <w:rsid w:val="38423130"/>
    <w:rsid w:val="38484A65"/>
    <w:rsid w:val="38773C14"/>
    <w:rsid w:val="38BA2FC4"/>
    <w:rsid w:val="39362388"/>
    <w:rsid w:val="394A53C8"/>
    <w:rsid w:val="395A2EF3"/>
    <w:rsid w:val="3A3B633B"/>
    <w:rsid w:val="3A832494"/>
    <w:rsid w:val="3AB37B29"/>
    <w:rsid w:val="3AF1412E"/>
    <w:rsid w:val="3B020DE5"/>
    <w:rsid w:val="3B416552"/>
    <w:rsid w:val="3B585978"/>
    <w:rsid w:val="3B5974BC"/>
    <w:rsid w:val="3BA0123F"/>
    <w:rsid w:val="3BE56851"/>
    <w:rsid w:val="3C0C0884"/>
    <w:rsid w:val="3C0F349F"/>
    <w:rsid w:val="3C23667B"/>
    <w:rsid w:val="3C6E419C"/>
    <w:rsid w:val="3C801A98"/>
    <w:rsid w:val="3C8131E6"/>
    <w:rsid w:val="3CB72984"/>
    <w:rsid w:val="3CCD0778"/>
    <w:rsid w:val="3D2E1856"/>
    <w:rsid w:val="3D384331"/>
    <w:rsid w:val="3D40793E"/>
    <w:rsid w:val="3D603E83"/>
    <w:rsid w:val="3E093478"/>
    <w:rsid w:val="3E6E089A"/>
    <w:rsid w:val="3EB16E74"/>
    <w:rsid w:val="3F0C7DF6"/>
    <w:rsid w:val="3F0F06AC"/>
    <w:rsid w:val="40AE2F11"/>
    <w:rsid w:val="40BF527A"/>
    <w:rsid w:val="4108678B"/>
    <w:rsid w:val="41112EAF"/>
    <w:rsid w:val="417001A9"/>
    <w:rsid w:val="419C3BA7"/>
    <w:rsid w:val="41F57B59"/>
    <w:rsid w:val="420F5080"/>
    <w:rsid w:val="422D477E"/>
    <w:rsid w:val="425C63F7"/>
    <w:rsid w:val="42B23B54"/>
    <w:rsid w:val="4324232E"/>
    <w:rsid w:val="43282EA8"/>
    <w:rsid w:val="43777B1A"/>
    <w:rsid w:val="43A52A62"/>
    <w:rsid w:val="43D15C67"/>
    <w:rsid w:val="44064C0A"/>
    <w:rsid w:val="440A3B00"/>
    <w:rsid w:val="44590592"/>
    <w:rsid w:val="44D1498B"/>
    <w:rsid w:val="44E8224B"/>
    <w:rsid w:val="44F25A6D"/>
    <w:rsid w:val="451F4398"/>
    <w:rsid w:val="45200C67"/>
    <w:rsid w:val="45416E53"/>
    <w:rsid w:val="45454351"/>
    <w:rsid w:val="45924B58"/>
    <w:rsid w:val="46343941"/>
    <w:rsid w:val="465F3606"/>
    <w:rsid w:val="46AF5941"/>
    <w:rsid w:val="46BF6CD0"/>
    <w:rsid w:val="476429D6"/>
    <w:rsid w:val="47642B80"/>
    <w:rsid w:val="48007DAE"/>
    <w:rsid w:val="48375CE5"/>
    <w:rsid w:val="4867562D"/>
    <w:rsid w:val="487930C8"/>
    <w:rsid w:val="48AE0D4A"/>
    <w:rsid w:val="48B86CF0"/>
    <w:rsid w:val="48C47CE4"/>
    <w:rsid w:val="499721A1"/>
    <w:rsid w:val="49B4471E"/>
    <w:rsid w:val="49EB0C03"/>
    <w:rsid w:val="49EB58AD"/>
    <w:rsid w:val="4A617626"/>
    <w:rsid w:val="4A807E93"/>
    <w:rsid w:val="4AA75EEA"/>
    <w:rsid w:val="4B757559"/>
    <w:rsid w:val="4B9664A4"/>
    <w:rsid w:val="4BDA1E3D"/>
    <w:rsid w:val="4BDB23F7"/>
    <w:rsid w:val="4C156106"/>
    <w:rsid w:val="4C440B37"/>
    <w:rsid w:val="4C9502C8"/>
    <w:rsid w:val="4CE968CF"/>
    <w:rsid w:val="4DDA0532"/>
    <w:rsid w:val="4E124D9C"/>
    <w:rsid w:val="4E862901"/>
    <w:rsid w:val="4EB0249E"/>
    <w:rsid w:val="4EDA516A"/>
    <w:rsid w:val="4F201116"/>
    <w:rsid w:val="4F2F5FC3"/>
    <w:rsid w:val="4F4F4F27"/>
    <w:rsid w:val="4F693F55"/>
    <w:rsid w:val="4F710AC7"/>
    <w:rsid w:val="4FB410C6"/>
    <w:rsid w:val="4FBA2837"/>
    <w:rsid w:val="4FC70AD6"/>
    <w:rsid w:val="4FE85517"/>
    <w:rsid w:val="50B47C55"/>
    <w:rsid w:val="50BE0E27"/>
    <w:rsid w:val="513E23AC"/>
    <w:rsid w:val="51A750B1"/>
    <w:rsid w:val="51CA1729"/>
    <w:rsid w:val="51F50869"/>
    <w:rsid w:val="51F579D8"/>
    <w:rsid w:val="52123BC7"/>
    <w:rsid w:val="52124659"/>
    <w:rsid w:val="52515DED"/>
    <w:rsid w:val="525B5B50"/>
    <w:rsid w:val="529F3413"/>
    <w:rsid w:val="52B61114"/>
    <w:rsid w:val="52D12917"/>
    <w:rsid w:val="530414D1"/>
    <w:rsid w:val="53504103"/>
    <w:rsid w:val="5365200D"/>
    <w:rsid w:val="53875AEB"/>
    <w:rsid w:val="53B512FC"/>
    <w:rsid w:val="53C13730"/>
    <w:rsid w:val="53DC0B3F"/>
    <w:rsid w:val="54047419"/>
    <w:rsid w:val="543F2630"/>
    <w:rsid w:val="54B87154"/>
    <w:rsid w:val="54D9319F"/>
    <w:rsid w:val="55463E0E"/>
    <w:rsid w:val="555D7625"/>
    <w:rsid w:val="559E4D14"/>
    <w:rsid w:val="567446C9"/>
    <w:rsid w:val="56770FEB"/>
    <w:rsid w:val="569D6009"/>
    <w:rsid w:val="570874BF"/>
    <w:rsid w:val="574B601F"/>
    <w:rsid w:val="575E195E"/>
    <w:rsid w:val="578D661C"/>
    <w:rsid w:val="57AD45F2"/>
    <w:rsid w:val="57D93C69"/>
    <w:rsid w:val="57E15D25"/>
    <w:rsid w:val="57FF745D"/>
    <w:rsid w:val="580541DC"/>
    <w:rsid w:val="581319B2"/>
    <w:rsid w:val="583728AA"/>
    <w:rsid w:val="584C05BC"/>
    <w:rsid w:val="58E03F75"/>
    <w:rsid w:val="591926F0"/>
    <w:rsid w:val="59276660"/>
    <w:rsid w:val="593E6804"/>
    <w:rsid w:val="59430BAC"/>
    <w:rsid w:val="59490844"/>
    <w:rsid w:val="59D70C5C"/>
    <w:rsid w:val="5A020725"/>
    <w:rsid w:val="5AD535F4"/>
    <w:rsid w:val="5B451872"/>
    <w:rsid w:val="5B812DC5"/>
    <w:rsid w:val="5BE92628"/>
    <w:rsid w:val="5C4F41DE"/>
    <w:rsid w:val="5CCB15B0"/>
    <w:rsid w:val="5CCC47C3"/>
    <w:rsid w:val="5D0A24E4"/>
    <w:rsid w:val="5D355D5A"/>
    <w:rsid w:val="5D435AB4"/>
    <w:rsid w:val="5D754F84"/>
    <w:rsid w:val="5F19636A"/>
    <w:rsid w:val="5F6D1A45"/>
    <w:rsid w:val="5F874AA3"/>
    <w:rsid w:val="5FE230D6"/>
    <w:rsid w:val="60136CB2"/>
    <w:rsid w:val="60286AAB"/>
    <w:rsid w:val="602C26CE"/>
    <w:rsid w:val="60366135"/>
    <w:rsid w:val="61526E4C"/>
    <w:rsid w:val="615F18A1"/>
    <w:rsid w:val="61923D34"/>
    <w:rsid w:val="61DE4C6A"/>
    <w:rsid w:val="621237C8"/>
    <w:rsid w:val="622F7681"/>
    <w:rsid w:val="62B70466"/>
    <w:rsid w:val="62F83C5C"/>
    <w:rsid w:val="6300456A"/>
    <w:rsid w:val="633641E7"/>
    <w:rsid w:val="637B1643"/>
    <w:rsid w:val="63BB5EFC"/>
    <w:rsid w:val="63DF24D7"/>
    <w:rsid w:val="643A0CA1"/>
    <w:rsid w:val="64A33866"/>
    <w:rsid w:val="64BF69AF"/>
    <w:rsid w:val="64F305EC"/>
    <w:rsid w:val="652733C9"/>
    <w:rsid w:val="65571AA6"/>
    <w:rsid w:val="658E7451"/>
    <w:rsid w:val="65BE30CE"/>
    <w:rsid w:val="65D53938"/>
    <w:rsid w:val="662A3085"/>
    <w:rsid w:val="66371EA0"/>
    <w:rsid w:val="665B5863"/>
    <w:rsid w:val="669114AE"/>
    <w:rsid w:val="66B677DF"/>
    <w:rsid w:val="66C75BBC"/>
    <w:rsid w:val="67E76F52"/>
    <w:rsid w:val="681D57F5"/>
    <w:rsid w:val="686F154D"/>
    <w:rsid w:val="68C76778"/>
    <w:rsid w:val="699A7243"/>
    <w:rsid w:val="69C56AE9"/>
    <w:rsid w:val="69C96334"/>
    <w:rsid w:val="69CA7262"/>
    <w:rsid w:val="69F27CE2"/>
    <w:rsid w:val="6A1A25C0"/>
    <w:rsid w:val="6A2C0CFE"/>
    <w:rsid w:val="6A815B8D"/>
    <w:rsid w:val="6A922256"/>
    <w:rsid w:val="6AA359F7"/>
    <w:rsid w:val="6AB72207"/>
    <w:rsid w:val="6B4670FE"/>
    <w:rsid w:val="6B472947"/>
    <w:rsid w:val="6B566C4B"/>
    <w:rsid w:val="6BB0179B"/>
    <w:rsid w:val="6BE8331C"/>
    <w:rsid w:val="6C0876B8"/>
    <w:rsid w:val="6C242EDF"/>
    <w:rsid w:val="6C99199C"/>
    <w:rsid w:val="6CAA11DD"/>
    <w:rsid w:val="6CFA26D5"/>
    <w:rsid w:val="6D255124"/>
    <w:rsid w:val="6D6936D7"/>
    <w:rsid w:val="6D9A4EDB"/>
    <w:rsid w:val="6DDD1660"/>
    <w:rsid w:val="6E0120B8"/>
    <w:rsid w:val="6E541DB5"/>
    <w:rsid w:val="6E5B085E"/>
    <w:rsid w:val="6E5C0499"/>
    <w:rsid w:val="6EA1640F"/>
    <w:rsid w:val="6F1E29B0"/>
    <w:rsid w:val="6F3940D5"/>
    <w:rsid w:val="6F3E544F"/>
    <w:rsid w:val="6F6B5E32"/>
    <w:rsid w:val="6F727C70"/>
    <w:rsid w:val="6F781C07"/>
    <w:rsid w:val="6F8664F5"/>
    <w:rsid w:val="6FF66E32"/>
    <w:rsid w:val="700E52CD"/>
    <w:rsid w:val="704F5792"/>
    <w:rsid w:val="706734D0"/>
    <w:rsid w:val="711B28BD"/>
    <w:rsid w:val="712C4F0E"/>
    <w:rsid w:val="71CE369F"/>
    <w:rsid w:val="723E2D7A"/>
    <w:rsid w:val="72421C71"/>
    <w:rsid w:val="727C5CB2"/>
    <w:rsid w:val="72B44D62"/>
    <w:rsid w:val="72DE599D"/>
    <w:rsid w:val="72ED2E65"/>
    <w:rsid w:val="72FD4413"/>
    <w:rsid w:val="733C2AFF"/>
    <w:rsid w:val="739A2057"/>
    <w:rsid w:val="7472539D"/>
    <w:rsid w:val="74BB5195"/>
    <w:rsid w:val="74C651B7"/>
    <w:rsid w:val="750446A6"/>
    <w:rsid w:val="751A443D"/>
    <w:rsid w:val="755C2894"/>
    <w:rsid w:val="762327F0"/>
    <w:rsid w:val="7623361C"/>
    <w:rsid w:val="76B165D7"/>
    <w:rsid w:val="77102E9E"/>
    <w:rsid w:val="771504D1"/>
    <w:rsid w:val="77211224"/>
    <w:rsid w:val="774D204E"/>
    <w:rsid w:val="775C0285"/>
    <w:rsid w:val="776954E8"/>
    <w:rsid w:val="7799481B"/>
    <w:rsid w:val="77C46047"/>
    <w:rsid w:val="77F0472D"/>
    <w:rsid w:val="783400E9"/>
    <w:rsid w:val="7885163E"/>
    <w:rsid w:val="78EF6DFC"/>
    <w:rsid w:val="7A1F0ED6"/>
    <w:rsid w:val="7A263289"/>
    <w:rsid w:val="7A6E44BF"/>
    <w:rsid w:val="7A943659"/>
    <w:rsid w:val="7A98230D"/>
    <w:rsid w:val="7ADE1702"/>
    <w:rsid w:val="7B1E3C29"/>
    <w:rsid w:val="7B511164"/>
    <w:rsid w:val="7BA04653"/>
    <w:rsid w:val="7BA44C5A"/>
    <w:rsid w:val="7BB26B7B"/>
    <w:rsid w:val="7C09215C"/>
    <w:rsid w:val="7C994FCB"/>
    <w:rsid w:val="7CB637D9"/>
    <w:rsid w:val="7CDA290C"/>
    <w:rsid w:val="7D0F2B0A"/>
    <w:rsid w:val="7D3D59DA"/>
    <w:rsid w:val="7D4A238C"/>
    <w:rsid w:val="7D706C48"/>
    <w:rsid w:val="7D7C5568"/>
    <w:rsid w:val="7DB62207"/>
    <w:rsid w:val="7DEA3393"/>
    <w:rsid w:val="7E2157C4"/>
    <w:rsid w:val="7E59725B"/>
    <w:rsid w:val="7E6147C6"/>
    <w:rsid w:val="7EA671E3"/>
    <w:rsid w:val="7ECB7380"/>
    <w:rsid w:val="7ED65CF8"/>
    <w:rsid w:val="7F456492"/>
    <w:rsid w:val="7F52558F"/>
    <w:rsid w:val="7F9243BE"/>
    <w:rsid w:val="7FBE5AFE"/>
    <w:rsid w:val="7FDC653E"/>
    <w:rsid w:val="7FDD7D61"/>
    <w:rsid w:val="7FE54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qFormat="1" w:unhideWhenUsed="0" w:uiPriority="0" w:semiHidden="0" w:name="envelope return" w:locked="1"/>
    <w:lsdException w:qFormat="1" w:unhideWhenUsed="0" w:uiPriority="0" w:name="footnote reference"/>
    <w:lsdException w:qFormat="1" w:unhideWhenUsed="0" w:uiPriority="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unhideWhenUsed="0" w:uiPriority="0" w:semiHidden="0" w:name="List Bullet" w:locked="1"/>
    <w:lsdException w:unhideWhenUsed="0" w:uiPriority="0" w:semiHidden="0" w:name="List Number" w:locked="1"/>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ocked="1"/>
    <w:lsdException w:unhideWhenUsed="0" w:uiPriority="0" w:semiHidden="0" w:name="Note Heading" w:locked="1"/>
    <w:lsdException w:qFormat="1" w:unhideWhenUsed="0" w:uiPriority="0" w:semiHidden="0" w:name="Body Text 2"/>
    <w:lsdException w:unhideWhenUsed="0" w:uiPriority="0" w:semiHidden="0"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qFormat="1"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76"/>
    <w:qFormat/>
    <w:uiPriority w:val="0"/>
    <w:pPr>
      <w:keepNext/>
      <w:keepLines/>
      <w:adjustRightInd w:val="0"/>
      <w:spacing w:before="340" w:after="330" w:line="578" w:lineRule="atLeast"/>
      <w:textAlignment w:val="baseline"/>
      <w:outlineLvl w:val="0"/>
    </w:pPr>
    <w:rPr>
      <w:b/>
      <w:kern w:val="44"/>
      <w:sz w:val="44"/>
    </w:rPr>
  </w:style>
  <w:style w:type="paragraph" w:styleId="6">
    <w:name w:val="heading 2"/>
    <w:basedOn w:val="1"/>
    <w:next w:val="1"/>
    <w:link w:val="73"/>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7">
    <w:name w:val="heading 3"/>
    <w:basedOn w:val="1"/>
    <w:next w:val="1"/>
    <w:qFormat/>
    <w:uiPriority w:val="0"/>
    <w:pPr>
      <w:keepNext/>
      <w:keepLines/>
      <w:adjustRightInd w:val="0"/>
      <w:spacing w:before="260" w:after="260" w:line="416" w:lineRule="atLeast"/>
      <w:textAlignment w:val="baseline"/>
      <w:outlineLvl w:val="2"/>
    </w:pPr>
    <w:rPr>
      <w:b/>
      <w:kern w:val="0"/>
      <w:sz w:val="32"/>
    </w:rPr>
  </w:style>
  <w:style w:type="paragraph" w:styleId="8">
    <w:name w:val="heading 4"/>
    <w:basedOn w:val="1"/>
    <w:next w:val="1"/>
    <w:link w:val="82"/>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9">
    <w:name w:val="heading 5"/>
    <w:basedOn w:val="1"/>
    <w:next w:val="1"/>
    <w:qFormat/>
    <w:uiPriority w:val="0"/>
    <w:pPr>
      <w:keepNext/>
      <w:keepLines/>
      <w:adjustRightInd w:val="0"/>
      <w:spacing w:before="280" w:after="290" w:line="376" w:lineRule="atLeast"/>
      <w:textAlignment w:val="baseline"/>
      <w:outlineLvl w:val="4"/>
    </w:pPr>
    <w:rPr>
      <w:b/>
      <w:kern w:val="0"/>
      <w:sz w:val="28"/>
    </w:rPr>
  </w:style>
  <w:style w:type="paragraph" w:styleId="10">
    <w:name w:val="heading 6"/>
    <w:basedOn w:val="1"/>
    <w:next w:val="1"/>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11">
    <w:name w:val="heading 7"/>
    <w:basedOn w:val="1"/>
    <w:next w:val="1"/>
    <w:qFormat/>
    <w:uiPriority w:val="0"/>
    <w:pPr>
      <w:keepNext/>
      <w:keepLines/>
      <w:adjustRightInd w:val="0"/>
      <w:spacing w:before="240" w:after="64" w:line="320" w:lineRule="atLeast"/>
      <w:textAlignment w:val="baseline"/>
      <w:outlineLvl w:val="6"/>
    </w:pPr>
    <w:rPr>
      <w:b/>
      <w:kern w:val="0"/>
      <w:sz w:val="24"/>
    </w:rPr>
  </w:style>
  <w:style w:type="paragraph" w:styleId="12">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4"/>
    <w:qFormat/>
    <w:locked/>
    <w:uiPriority w:val="0"/>
    <w:pPr>
      <w:ind w:firstLine="420" w:firstLineChars="200"/>
    </w:pPr>
  </w:style>
  <w:style w:type="paragraph" w:styleId="3">
    <w:name w:val="Body Text Indent"/>
    <w:basedOn w:val="1"/>
    <w:next w:val="4"/>
    <w:link w:val="105"/>
    <w:qFormat/>
    <w:uiPriority w:val="0"/>
    <w:pPr>
      <w:spacing w:after="156"/>
      <w:ind w:firstLine="480"/>
    </w:pPr>
    <w:rPr>
      <w:sz w:val="24"/>
    </w:rPr>
  </w:style>
  <w:style w:type="paragraph" w:styleId="4">
    <w:name w:val="envelope return"/>
    <w:basedOn w:val="1"/>
    <w:qFormat/>
    <w:locked/>
    <w:uiPriority w:val="0"/>
    <w:pPr>
      <w:snapToGrid w:val="0"/>
    </w:pPr>
    <w:rPr>
      <w:rFonts w:ascii="Arial" w:hAnsi="Arial"/>
    </w:rPr>
  </w:style>
  <w:style w:type="paragraph" w:styleId="14">
    <w:name w:val="List 3"/>
    <w:basedOn w:val="1"/>
    <w:qFormat/>
    <w:uiPriority w:val="0"/>
    <w:pPr>
      <w:ind w:left="100" w:leftChars="400" w:hanging="200" w:hangingChars="200"/>
    </w:pPr>
  </w:style>
  <w:style w:type="paragraph" w:styleId="15">
    <w:name w:val="toc 7"/>
    <w:basedOn w:val="1"/>
    <w:next w:val="1"/>
    <w:semiHidden/>
    <w:qFormat/>
    <w:uiPriority w:val="0"/>
    <w:pPr>
      <w:ind w:left="1260"/>
      <w:jc w:val="left"/>
    </w:pPr>
    <w:rPr>
      <w:sz w:val="18"/>
    </w:rPr>
  </w:style>
  <w:style w:type="paragraph" w:styleId="16">
    <w:name w:val="Normal Indent"/>
    <w:basedOn w:val="1"/>
    <w:link w:val="83"/>
    <w:qFormat/>
    <w:uiPriority w:val="0"/>
    <w:pPr>
      <w:ind w:firstLine="420"/>
    </w:pPr>
  </w:style>
  <w:style w:type="paragraph" w:styleId="17">
    <w:name w:val="Document Map"/>
    <w:basedOn w:val="1"/>
    <w:semiHidden/>
    <w:qFormat/>
    <w:uiPriority w:val="0"/>
    <w:pPr>
      <w:shd w:val="clear" w:color="auto" w:fill="000080"/>
    </w:pPr>
  </w:style>
  <w:style w:type="paragraph" w:styleId="18">
    <w:name w:val="annotation text"/>
    <w:basedOn w:val="1"/>
    <w:link w:val="70"/>
    <w:semiHidden/>
    <w:qFormat/>
    <w:uiPriority w:val="0"/>
    <w:pPr>
      <w:jc w:val="left"/>
    </w:pPr>
  </w:style>
  <w:style w:type="paragraph" w:styleId="19">
    <w:name w:val="Body Text"/>
    <w:basedOn w:val="1"/>
    <w:next w:val="1"/>
    <w:link w:val="103"/>
    <w:qFormat/>
    <w:uiPriority w:val="0"/>
    <w:rPr>
      <w:sz w:val="24"/>
    </w:rPr>
  </w:style>
  <w:style w:type="paragraph" w:styleId="20">
    <w:name w:val="List 2"/>
    <w:basedOn w:val="1"/>
    <w:qFormat/>
    <w:uiPriority w:val="0"/>
    <w:pPr>
      <w:ind w:left="100" w:leftChars="200" w:hanging="200" w:hangingChars="200"/>
    </w:pPr>
  </w:style>
  <w:style w:type="paragraph" w:styleId="21">
    <w:name w:val="List Continue"/>
    <w:basedOn w:val="1"/>
    <w:qFormat/>
    <w:uiPriority w:val="0"/>
    <w:pPr>
      <w:spacing w:after="120"/>
      <w:ind w:left="420" w:leftChars="200"/>
    </w:pPr>
  </w:style>
  <w:style w:type="paragraph" w:styleId="22">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3">
    <w:name w:val="toc 5"/>
    <w:basedOn w:val="1"/>
    <w:next w:val="1"/>
    <w:semiHidden/>
    <w:qFormat/>
    <w:uiPriority w:val="0"/>
    <w:pPr>
      <w:ind w:left="840"/>
      <w:jc w:val="left"/>
    </w:pPr>
    <w:rPr>
      <w:sz w:val="18"/>
    </w:rPr>
  </w:style>
  <w:style w:type="paragraph" w:styleId="24">
    <w:name w:val="toc 3"/>
    <w:basedOn w:val="1"/>
    <w:next w:val="1"/>
    <w:semiHidden/>
    <w:qFormat/>
    <w:uiPriority w:val="0"/>
    <w:pPr>
      <w:ind w:left="420"/>
      <w:jc w:val="left"/>
    </w:pPr>
    <w:rPr>
      <w:i/>
      <w:sz w:val="20"/>
    </w:rPr>
  </w:style>
  <w:style w:type="paragraph" w:styleId="25">
    <w:name w:val="Plain Text"/>
    <w:basedOn w:val="1"/>
    <w:qFormat/>
    <w:uiPriority w:val="0"/>
    <w:rPr>
      <w:rFonts w:ascii="宋体" w:hAnsi="Courier New"/>
    </w:rPr>
  </w:style>
  <w:style w:type="paragraph" w:styleId="26">
    <w:name w:val="toc 8"/>
    <w:basedOn w:val="1"/>
    <w:next w:val="1"/>
    <w:semiHidden/>
    <w:qFormat/>
    <w:uiPriority w:val="0"/>
    <w:pPr>
      <w:ind w:left="1470"/>
      <w:jc w:val="left"/>
    </w:pPr>
    <w:rPr>
      <w:sz w:val="18"/>
    </w:rPr>
  </w:style>
  <w:style w:type="paragraph" w:styleId="27">
    <w:name w:val="Date"/>
    <w:basedOn w:val="1"/>
    <w:next w:val="1"/>
    <w:qFormat/>
    <w:uiPriority w:val="0"/>
    <w:pPr>
      <w:widowControl/>
      <w:ind w:left="100"/>
      <w:jc w:val="left"/>
    </w:pPr>
    <w:rPr>
      <w:rFonts w:ascii="宋体" w:hAnsi="宋体"/>
      <w:kern w:val="0"/>
      <w:sz w:val="28"/>
    </w:rPr>
  </w:style>
  <w:style w:type="paragraph" w:styleId="28">
    <w:name w:val="Body Text Indent 2"/>
    <w:basedOn w:val="1"/>
    <w:qFormat/>
    <w:uiPriority w:val="0"/>
    <w:pPr>
      <w:ind w:left="1436" w:leftChars="684"/>
    </w:pPr>
    <w:rPr>
      <w:sz w:val="24"/>
    </w:rPr>
  </w:style>
  <w:style w:type="paragraph" w:styleId="29">
    <w:name w:val="List Continue 5"/>
    <w:basedOn w:val="1"/>
    <w:qFormat/>
    <w:uiPriority w:val="0"/>
    <w:pPr>
      <w:spacing w:after="120"/>
      <w:ind w:left="2100" w:leftChars="1000"/>
    </w:pPr>
  </w:style>
  <w:style w:type="paragraph" w:styleId="30">
    <w:name w:val="Balloon Text"/>
    <w:basedOn w:val="1"/>
    <w:link w:val="71"/>
    <w:semiHidden/>
    <w:qFormat/>
    <w:uiPriority w:val="0"/>
    <w:rPr>
      <w:sz w:val="18"/>
    </w:rPr>
  </w:style>
  <w:style w:type="paragraph" w:styleId="31">
    <w:name w:val="footer"/>
    <w:basedOn w:val="1"/>
    <w:link w:val="69"/>
    <w:qFormat/>
    <w:uiPriority w:val="99"/>
    <w:pPr>
      <w:tabs>
        <w:tab w:val="center" w:pos="4153"/>
        <w:tab w:val="right" w:pos="8306"/>
      </w:tabs>
      <w:snapToGrid w:val="0"/>
      <w:jc w:val="left"/>
    </w:pPr>
    <w:rPr>
      <w:sz w:val="18"/>
    </w:rPr>
  </w:style>
  <w:style w:type="paragraph" w:styleId="32">
    <w:name w:val="header"/>
    <w:basedOn w:val="1"/>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semiHidden/>
    <w:qFormat/>
    <w:uiPriority w:val="0"/>
    <w:pPr>
      <w:tabs>
        <w:tab w:val="left" w:pos="840"/>
        <w:tab w:val="right" w:leader="dot" w:pos="9402"/>
      </w:tabs>
      <w:adjustRightInd w:val="0"/>
      <w:snapToGrid w:val="0"/>
      <w:spacing w:line="360" w:lineRule="auto"/>
      <w:jc w:val="left"/>
    </w:pPr>
    <w:rPr>
      <w:rFonts w:ascii="Arial" w:hAnsi="宋体"/>
      <w:caps/>
      <w:w w:val="80"/>
      <w:sz w:val="24"/>
    </w:rPr>
  </w:style>
  <w:style w:type="paragraph" w:styleId="34">
    <w:name w:val="List Continue 4"/>
    <w:basedOn w:val="1"/>
    <w:qFormat/>
    <w:uiPriority w:val="0"/>
    <w:pPr>
      <w:spacing w:after="120"/>
      <w:ind w:left="1680" w:leftChars="800"/>
    </w:pPr>
  </w:style>
  <w:style w:type="paragraph" w:styleId="35">
    <w:name w:val="toc 4"/>
    <w:basedOn w:val="1"/>
    <w:next w:val="1"/>
    <w:semiHidden/>
    <w:qFormat/>
    <w:uiPriority w:val="0"/>
    <w:pPr>
      <w:tabs>
        <w:tab w:val="left" w:pos="1080"/>
        <w:tab w:val="right" w:leader="dot" w:pos="9125"/>
      </w:tabs>
      <w:adjustRightInd w:val="0"/>
      <w:snapToGrid w:val="0"/>
      <w:spacing w:line="360" w:lineRule="auto"/>
      <w:jc w:val="left"/>
    </w:pPr>
    <w:rPr>
      <w:sz w:val="18"/>
    </w:rPr>
  </w:style>
  <w:style w:type="paragraph" w:styleId="36">
    <w:name w:val="List"/>
    <w:basedOn w:val="1"/>
    <w:qFormat/>
    <w:uiPriority w:val="0"/>
    <w:pPr>
      <w:ind w:left="200" w:hanging="200" w:hangingChars="200"/>
    </w:pPr>
  </w:style>
  <w:style w:type="paragraph" w:styleId="37">
    <w:name w:val="footnote text"/>
    <w:basedOn w:val="1"/>
    <w:semiHidden/>
    <w:qFormat/>
    <w:uiPriority w:val="0"/>
    <w:pPr>
      <w:snapToGrid w:val="0"/>
      <w:jc w:val="left"/>
    </w:pPr>
    <w:rPr>
      <w:sz w:val="18"/>
    </w:rPr>
  </w:style>
  <w:style w:type="paragraph" w:styleId="38">
    <w:name w:val="toc 6"/>
    <w:basedOn w:val="1"/>
    <w:next w:val="1"/>
    <w:semiHidden/>
    <w:qFormat/>
    <w:uiPriority w:val="0"/>
    <w:pPr>
      <w:ind w:left="1050"/>
      <w:jc w:val="left"/>
    </w:pPr>
    <w:rPr>
      <w:sz w:val="18"/>
    </w:rPr>
  </w:style>
  <w:style w:type="paragraph" w:styleId="39">
    <w:name w:val="List 5"/>
    <w:basedOn w:val="1"/>
    <w:qFormat/>
    <w:uiPriority w:val="0"/>
    <w:pPr>
      <w:ind w:left="100" w:leftChars="800" w:hanging="200" w:hangingChars="200"/>
    </w:pPr>
  </w:style>
  <w:style w:type="paragraph" w:styleId="40">
    <w:name w:val="Body Text Indent 3"/>
    <w:basedOn w:val="1"/>
    <w:qFormat/>
    <w:uiPriority w:val="0"/>
    <w:pPr>
      <w:spacing w:after="120"/>
      <w:ind w:left="420" w:leftChars="200"/>
    </w:pPr>
    <w:rPr>
      <w:sz w:val="16"/>
    </w:rPr>
  </w:style>
  <w:style w:type="paragraph" w:styleId="41">
    <w:name w:val="toc 2"/>
    <w:basedOn w:val="1"/>
    <w:next w:val="1"/>
    <w:semiHidden/>
    <w:qFormat/>
    <w:uiPriority w:val="0"/>
    <w:pPr>
      <w:ind w:left="210"/>
      <w:jc w:val="left"/>
    </w:pPr>
    <w:rPr>
      <w:smallCaps/>
      <w:sz w:val="20"/>
    </w:rPr>
  </w:style>
  <w:style w:type="paragraph" w:styleId="42">
    <w:name w:val="toc 9"/>
    <w:basedOn w:val="1"/>
    <w:next w:val="1"/>
    <w:semiHidden/>
    <w:qFormat/>
    <w:uiPriority w:val="0"/>
    <w:pPr>
      <w:ind w:left="1680"/>
      <w:jc w:val="left"/>
    </w:pPr>
    <w:rPr>
      <w:sz w:val="18"/>
    </w:rPr>
  </w:style>
  <w:style w:type="paragraph" w:styleId="43">
    <w:name w:val="Body Text 2"/>
    <w:basedOn w:val="1"/>
    <w:qFormat/>
    <w:uiPriority w:val="0"/>
    <w:rPr>
      <w:rFonts w:ascii="宋体" w:hAnsi="宋体"/>
      <w:sz w:val="24"/>
    </w:r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link w:val="84"/>
    <w:qFormat/>
    <w:uiPriority w:val="0"/>
    <w:rPr>
      <w:rFonts w:ascii="Courier New" w:hAnsi="Courier New"/>
      <w:sz w:val="20"/>
    </w:r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List Continue 3"/>
    <w:basedOn w:val="1"/>
    <w:qFormat/>
    <w:uiPriority w:val="0"/>
    <w:pPr>
      <w:spacing w:after="120"/>
      <w:ind w:left="1260" w:leftChars="600"/>
    </w:pPr>
  </w:style>
  <w:style w:type="paragraph" w:styleId="49">
    <w:name w:val="annotation subject"/>
    <w:basedOn w:val="18"/>
    <w:next w:val="18"/>
    <w:semiHidden/>
    <w:qFormat/>
    <w:uiPriority w:val="0"/>
    <w:rPr>
      <w:b/>
    </w:rPr>
  </w:style>
  <w:style w:type="paragraph" w:styleId="50">
    <w:name w:val="Body Text First Indent"/>
    <w:basedOn w:val="19"/>
    <w:qFormat/>
    <w:uiPriority w:val="0"/>
    <w:pPr>
      <w:spacing w:line="360" w:lineRule="auto"/>
      <w:ind w:firstLine="482"/>
    </w:pPr>
    <w:rPr>
      <w:b/>
    </w:rPr>
  </w:style>
  <w:style w:type="table" w:styleId="52">
    <w:name w:val="Table Grid"/>
    <w:basedOn w:val="5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locked/>
    <w:uiPriority w:val="0"/>
    <w:rPr>
      <w:b/>
      <w:bCs/>
    </w:rPr>
  </w:style>
  <w:style w:type="character" w:styleId="55">
    <w:name w:val="page number"/>
    <w:qFormat/>
    <w:uiPriority w:val="0"/>
    <w:rPr>
      <w:rFonts w:cs="Times New Roman"/>
    </w:rPr>
  </w:style>
  <w:style w:type="character" w:styleId="56">
    <w:name w:val="FollowedHyperlink"/>
    <w:qFormat/>
    <w:locked/>
    <w:uiPriority w:val="0"/>
    <w:rPr>
      <w:color w:val="800080"/>
      <w:u w:val="single"/>
    </w:rPr>
  </w:style>
  <w:style w:type="character" w:styleId="57">
    <w:name w:val="Emphasis"/>
    <w:qFormat/>
    <w:locked/>
    <w:uiPriority w:val="0"/>
    <w:rPr>
      <w:color w:val="CC0000"/>
    </w:rPr>
  </w:style>
  <w:style w:type="character" w:styleId="58">
    <w:name w:val="Hyperlink"/>
    <w:qFormat/>
    <w:uiPriority w:val="0"/>
    <w:rPr>
      <w:color w:val="0000FF"/>
      <w:u w:val="single"/>
    </w:rPr>
  </w:style>
  <w:style w:type="character" w:styleId="59">
    <w:name w:val="annotation reference"/>
    <w:semiHidden/>
    <w:qFormat/>
    <w:uiPriority w:val="0"/>
    <w:rPr>
      <w:sz w:val="21"/>
    </w:rPr>
  </w:style>
  <w:style w:type="character" w:styleId="60">
    <w:name w:val="HTML Cite"/>
    <w:qFormat/>
    <w:locked/>
    <w:uiPriority w:val="0"/>
    <w:rPr>
      <w:color w:val="008000"/>
    </w:rPr>
  </w:style>
  <w:style w:type="character" w:styleId="61">
    <w:name w:val="footnote reference"/>
    <w:semiHidden/>
    <w:qFormat/>
    <w:uiPriority w:val="0"/>
    <w:rPr>
      <w:vertAlign w:val="superscript"/>
    </w:rPr>
  </w:style>
  <w:style w:type="paragraph" w:customStyle="1" w:styleId="62">
    <w:name w:val="一级条标题"/>
    <w:basedOn w:val="63"/>
    <w:next w:val="64"/>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63">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64">
    <w:name w:val="段"/>
    <w:basedOn w:val="1"/>
    <w:next w:val="1"/>
    <w:qFormat/>
    <w:uiPriority w:val="0"/>
    <w:pPr>
      <w:widowControl/>
      <w:autoSpaceDE w:val="0"/>
      <w:autoSpaceDN w:val="0"/>
      <w:ind w:firstLine="200" w:firstLineChars="200"/>
    </w:pPr>
    <w:rPr>
      <w:rFonts w:hint="eastAsia" w:ascii="宋体"/>
      <w:kern w:val="0"/>
    </w:rPr>
  </w:style>
  <w:style w:type="paragraph" w:styleId="65">
    <w:name w:val="List Paragraph"/>
    <w:basedOn w:val="1"/>
    <w:unhideWhenUsed/>
    <w:qFormat/>
    <w:uiPriority w:val="99"/>
    <w:pPr>
      <w:ind w:firstLine="420" w:firstLineChars="200"/>
    </w:pPr>
  </w:style>
  <w:style w:type="character" w:customStyle="1" w:styleId="66">
    <w:name w:val="Style Heading 3 + Char"/>
    <w:link w:val="67"/>
    <w:qFormat/>
    <w:locked/>
    <w:uiPriority w:val="0"/>
    <w:rPr>
      <w:rFonts w:eastAsia="宋体"/>
      <w:b/>
      <w:kern w:val="2"/>
      <w:sz w:val="28"/>
      <w:lang w:val="en-US" w:eastAsia="zh-CN"/>
    </w:rPr>
  </w:style>
  <w:style w:type="paragraph" w:customStyle="1" w:styleId="67">
    <w:name w:val="Style Heading 3 +"/>
    <w:basedOn w:val="7"/>
    <w:link w:val="66"/>
    <w:qFormat/>
    <w:uiPriority w:val="0"/>
    <w:pPr>
      <w:adjustRightInd/>
      <w:spacing w:before="120" w:after="120" w:line="120" w:lineRule="atLeast"/>
      <w:textAlignment w:val="auto"/>
    </w:pPr>
    <w:rPr>
      <w:kern w:val="2"/>
      <w:sz w:val="28"/>
    </w:rPr>
  </w:style>
  <w:style w:type="character" w:customStyle="1" w:styleId="68">
    <w:name w:val="正文文本缩进 字符"/>
    <w:link w:val="3"/>
    <w:qFormat/>
    <w:uiPriority w:val="0"/>
    <w:rPr>
      <w:kern w:val="2"/>
      <w:sz w:val="24"/>
    </w:rPr>
  </w:style>
  <w:style w:type="character" w:customStyle="1" w:styleId="69">
    <w:name w:val="页脚 Char"/>
    <w:link w:val="31"/>
    <w:qFormat/>
    <w:locked/>
    <w:uiPriority w:val="99"/>
    <w:rPr>
      <w:kern w:val="2"/>
      <w:sz w:val="18"/>
    </w:rPr>
  </w:style>
  <w:style w:type="character" w:customStyle="1" w:styleId="70">
    <w:name w:val="批注文字 Char"/>
    <w:link w:val="18"/>
    <w:qFormat/>
    <w:locked/>
    <w:uiPriority w:val="0"/>
    <w:rPr>
      <w:kern w:val="2"/>
      <w:sz w:val="21"/>
    </w:rPr>
  </w:style>
  <w:style w:type="character" w:customStyle="1" w:styleId="71">
    <w:name w:val="批注框文本 Char"/>
    <w:link w:val="30"/>
    <w:qFormat/>
    <w:locked/>
    <w:uiPriority w:val="0"/>
    <w:rPr>
      <w:rFonts w:eastAsia="宋体"/>
      <w:kern w:val="2"/>
      <w:sz w:val="18"/>
      <w:lang w:val="en-US" w:eastAsia="zh-CN"/>
    </w:rPr>
  </w:style>
  <w:style w:type="character" w:customStyle="1" w:styleId="72">
    <w:name w:val="font01"/>
    <w:qFormat/>
    <w:uiPriority w:val="0"/>
    <w:rPr>
      <w:rFonts w:hint="eastAsia" w:ascii="宋体" w:hAnsi="宋体" w:eastAsia="宋体" w:cs="宋体"/>
      <w:color w:val="000000"/>
      <w:sz w:val="20"/>
      <w:szCs w:val="20"/>
      <w:u w:val="none"/>
    </w:rPr>
  </w:style>
  <w:style w:type="character" w:customStyle="1" w:styleId="73">
    <w:name w:val="标题 2 Char"/>
    <w:link w:val="6"/>
    <w:qFormat/>
    <w:uiPriority w:val="0"/>
    <w:rPr>
      <w:rFonts w:ascii="Arial" w:hAnsi="Arial" w:eastAsia="黑体"/>
      <w:b/>
      <w:sz w:val="32"/>
    </w:rPr>
  </w:style>
  <w:style w:type="character" w:customStyle="1" w:styleId="74">
    <w:name w:val="hover23"/>
    <w:qFormat/>
    <w:uiPriority w:val="0"/>
    <w:rPr>
      <w:color w:val="315EFB"/>
    </w:rPr>
  </w:style>
  <w:style w:type="character" w:customStyle="1" w:styleId="75">
    <w:name w:val="style1"/>
    <w:qFormat/>
    <w:uiPriority w:val="0"/>
    <w:rPr>
      <w:rFonts w:cs="Times New Roman"/>
    </w:rPr>
  </w:style>
  <w:style w:type="character" w:customStyle="1" w:styleId="76">
    <w:name w:val="标题 1 Char"/>
    <w:link w:val="5"/>
    <w:qFormat/>
    <w:locked/>
    <w:uiPriority w:val="0"/>
    <w:rPr>
      <w:b/>
      <w:kern w:val="44"/>
      <w:sz w:val="44"/>
    </w:rPr>
  </w:style>
  <w:style w:type="character" w:customStyle="1" w:styleId="77">
    <w:name w:val="正文缩进2格 Char Char"/>
    <w:link w:val="78"/>
    <w:qFormat/>
    <w:uiPriority w:val="0"/>
    <w:rPr>
      <w:rFonts w:ascii="仿宋_GB2312" w:hAnsi="宋体" w:eastAsia="仿宋_GB2312"/>
      <w:kern w:val="2"/>
      <w:sz w:val="31"/>
      <w:szCs w:val="28"/>
    </w:rPr>
  </w:style>
  <w:style w:type="paragraph" w:customStyle="1" w:styleId="78">
    <w:name w:val="正文缩进2格"/>
    <w:basedOn w:val="1"/>
    <w:link w:val="77"/>
    <w:qFormat/>
    <w:uiPriority w:val="0"/>
    <w:pPr>
      <w:spacing w:line="600" w:lineRule="exact"/>
      <w:ind w:firstLine="639" w:firstLineChars="206"/>
    </w:pPr>
    <w:rPr>
      <w:rFonts w:ascii="仿宋_GB2312" w:hAnsi="宋体" w:eastAsia="仿宋_GB2312"/>
      <w:sz w:val="31"/>
      <w:szCs w:val="28"/>
    </w:rPr>
  </w:style>
  <w:style w:type="character" w:customStyle="1" w:styleId="79">
    <w:name w:val="hover22"/>
    <w:basedOn w:val="53"/>
    <w:qFormat/>
    <w:uiPriority w:val="0"/>
  </w:style>
  <w:style w:type="character" w:customStyle="1" w:styleId="80">
    <w:name w:val="c-icon27"/>
    <w:basedOn w:val="53"/>
    <w:qFormat/>
    <w:uiPriority w:val="0"/>
  </w:style>
  <w:style w:type="character" w:customStyle="1" w:styleId="81">
    <w:name w:val="c-icon28"/>
    <w:basedOn w:val="53"/>
    <w:qFormat/>
    <w:uiPriority w:val="0"/>
  </w:style>
  <w:style w:type="character" w:customStyle="1" w:styleId="82">
    <w:name w:val="标题 4 Char"/>
    <w:link w:val="8"/>
    <w:qFormat/>
    <w:locked/>
    <w:uiPriority w:val="0"/>
    <w:rPr>
      <w:rFonts w:ascii="Arial" w:hAnsi="Arial" w:eastAsia="黑体"/>
      <w:b/>
      <w:kern w:val="2"/>
      <w:sz w:val="28"/>
      <w:lang w:val="en-US" w:eastAsia="zh-CN"/>
    </w:rPr>
  </w:style>
  <w:style w:type="character" w:customStyle="1" w:styleId="83">
    <w:name w:val="正文缩进 Char"/>
    <w:link w:val="16"/>
    <w:qFormat/>
    <w:locked/>
    <w:uiPriority w:val="0"/>
    <w:rPr>
      <w:kern w:val="2"/>
      <w:sz w:val="21"/>
    </w:rPr>
  </w:style>
  <w:style w:type="character" w:customStyle="1" w:styleId="84">
    <w:name w:val="HTML 预设格式 Char"/>
    <w:link w:val="46"/>
    <w:qFormat/>
    <w:locked/>
    <w:uiPriority w:val="0"/>
    <w:rPr>
      <w:rFonts w:ascii="Courier New" w:hAnsi="Courier New"/>
      <w:kern w:val="2"/>
    </w:rPr>
  </w:style>
  <w:style w:type="character" w:customStyle="1" w:styleId="85">
    <w:name w:val="标题 1 Char Char"/>
    <w:qFormat/>
    <w:uiPriority w:val="0"/>
    <w:rPr>
      <w:rFonts w:hint="eastAsia" w:ascii="宋体" w:hAnsi="宋体" w:eastAsia="宋体"/>
      <w:b/>
      <w:spacing w:val="-2"/>
      <w:sz w:val="24"/>
      <w:lang w:val="en-US" w:eastAsia="zh-CN"/>
    </w:rPr>
  </w:style>
  <w:style w:type="paragraph" w:customStyle="1" w:styleId="8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87">
    <w:name w:val="Plain Text1"/>
    <w:basedOn w:val="1"/>
    <w:qFormat/>
    <w:uiPriority w:val="0"/>
    <w:pPr>
      <w:widowControl/>
      <w:adjustRightInd w:val="0"/>
      <w:jc w:val="left"/>
      <w:textAlignment w:val="baseline"/>
    </w:pPr>
    <w:rPr>
      <w:rFonts w:ascii="宋体" w:hAnsi="Courier New" w:eastAsia="楷体_GB2312"/>
      <w:kern w:val="0"/>
      <w:sz w:val="26"/>
    </w:rPr>
  </w:style>
  <w:style w:type="paragraph" w:customStyle="1" w:styleId="88">
    <w:name w:val="样式 标题 2 + 黑色 行距: 1.5 倍行距"/>
    <w:basedOn w:val="6"/>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0">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1">
    <w:name w:val="图文"/>
    <w:basedOn w:val="1"/>
    <w:qFormat/>
    <w:uiPriority w:val="0"/>
    <w:pPr>
      <w:adjustRightInd w:val="0"/>
      <w:snapToGrid w:val="0"/>
      <w:spacing w:after="50" w:line="360" w:lineRule="auto"/>
    </w:pPr>
    <w:rPr>
      <w:sz w:val="24"/>
    </w:rPr>
  </w:style>
  <w:style w:type="paragraph" w:customStyle="1" w:styleId="92">
    <w:name w:val="Char Char Char1 Char"/>
    <w:basedOn w:val="1"/>
    <w:qFormat/>
    <w:uiPriority w:val="0"/>
  </w:style>
  <w:style w:type="paragraph" w:customStyle="1" w:styleId="93">
    <w:name w:val="p0"/>
    <w:basedOn w:val="1"/>
    <w:qFormat/>
    <w:uiPriority w:val="0"/>
    <w:pPr>
      <w:widowControl/>
    </w:pPr>
    <w:rPr>
      <w:kern w:val="0"/>
      <w:szCs w:val="21"/>
    </w:rPr>
  </w:style>
  <w:style w:type="paragraph" w:customStyle="1" w:styleId="94">
    <w:name w:val="_Style 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6"/>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6">
    <w:name w:val="列出段落1"/>
    <w:basedOn w:val="1"/>
    <w:qFormat/>
    <w:uiPriority w:val="0"/>
    <w:pPr>
      <w:ind w:firstLine="420" w:firstLineChars="200"/>
    </w:pPr>
  </w:style>
  <w:style w:type="paragraph" w:customStyle="1" w:styleId="97">
    <w:name w:val="简单回函地址"/>
    <w:basedOn w:val="1"/>
    <w:qFormat/>
    <w:uiPriority w:val="0"/>
  </w:style>
  <w:style w:type="paragraph" w:customStyle="1" w:styleId="98">
    <w:name w:val="纯文本2"/>
    <w:basedOn w:val="1"/>
    <w:qFormat/>
    <w:uiPriority w:val="0"/>
    <w:rPr>
      <w:rFonts w:ascii="宋体" w:hAnsi="Courier New"/>
      <w:sz w:val="28"/>
      <w:szCs w:val="24"/>
    </w:rPr>
  </w:style>
  <w:style w:type="paragraph" w:customStyle="1" w:styleId="99">
    <w:name w:val="1"/>
    <w:basedOn w:val="1"/>
    <w:next w:val="25"/>
    <w:qFormat/>
    <w:uiPriority w:val="0"/>
    <w:rPr>
      <w:rFonts w:ascii="宋体" w:hAnsi="Courier New"/>
    </w:rPr>
  </w:style>
  <w:style w:type="paragraph" w:customStyle="1" w:styleId="100">
    <w:name w:val="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1">
    <w:name w:val="默认段落字体 Para Char Char Char Char"/>
    <w:basedOn w:val="1"/>
    <w:qFormat/>
    <w:uiPriority w:val="0"/>
  </w:style>
  <w:style w:type="paragraph" w:customStyle="1" w:styleId="102">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3">
    <w:name w:val="正文文本 Char"/>
    <w:basedOn w:val="53"/>
    <w:link w:val="19"/>
    <w:qFormat/>
    <w:uiPriority w:val="0"/>
    <w:rPr>
      <w:rFonts w:hint="default" w:ascii="Times New Roman" w:hAnsi="Times New Roman" w:eastAsia="宋体" w:cs="Times New Roman"/>
      <w:szCs w:val="21"/>
    </w:rPr>
  </w:style>
  <w:style w:type="character" w:customStyle="1" w:styleId="104">
    <w:name w:val="正文首行缩进 2 Char"/>
    <w:basedOn w:val="105"/>
    <w:link w:val="2"/>
    <w:qFormat/>
    <w:uiPriority w:val="0"/>
    <w:rPr>
      <w:rFonts w:hint="default" w:ascii="Times New Roman" w:hAnsi="Times New Roman" w:eastAsia="宋体" w:cs="Times New Roman"/>
      <w:szCs w:val="21"/>
    </w:rPr>
  </w:style>
  <w:style w:type="character" w:customStyle="1" w:styleId="105">
    <w:name w:val="正文文本缩进 Char"/>
    <w:basedOn w:val="53"/>
    <w:link w:val="3"/>
    <w:qFormat/>
    <w:uiPriority w:val="0"/>
    <w:rPr>
      <w:rFonts w:hint="default" w:ascii="Times New Roman" w:hAnsi="Times New Roman" w:eastAsia="宋体" w:cs="Times New Roman"/>
      <w:szCs w:val="21"/>
    </w:rPr>
  </w:style>
  <w:style w:type="paragraph" w:customStyle="1" w:styleId="106">
    <w:name w:val="Body text|1"/>
    <w:basedOn w:val="1"/>
    <w:qFormat/>
    <w:uiPriority w:val="0"/>
    <w:pPr>
      <w:spacing w:line="418" w:lineRule="auto"/>
      <w:ind w:firstLine="280"/>
    </w:pPr>
    <w:rPr>
      <w:rFonts w:ascii="宋体" w:hAnsi="宋体" w:cs="宋体"/>
      <w:sz w:val="10"/>
      <w:szCs w:val="10"/>
      <w:lang w:val="zh-TW" w:eastAsia="zh-TW" w:bidi="zh-TW"/>
    </w:rPr>
  </w:style>
  <w:style w:type="paragraph" w:customStyle="1" w:styleId="107">
    <w:name w:val="Body text|3"/>
    <w:basedOn w:val="1"/>
    <w:qFormat/>
    <w:uiPriority w:val="0"/>
    <w:pPr>
      <w:spacing w:line="200" w:lineRule="exact"/>
      <w:ind w:firstLine="280"/>
    </w:pPr>
    <w:rPr>
      <w:sz w:val="10"/>
      <w:szCs w:val="10"/>
    </w:rPr>
  </w:style>
  <w:style w:type="paragraph" w:customStyle="1" w:styleId="108">
    <w:name w:val="正文首行缩进 21"/>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4C6AD-84F6-4172-9837-0814FA6EA87D}">
  <ds:schemaRefs/>
</ds:datastoreItem>
</file>

<file path=docProps/app.xml><?xml version="1.0" encoding="utf-8"?>
<Properties xmlns="http://schemas.openxmlformats.org/officeDocument/2006/extended-properties" xmlns:vt="http://schemas.openxmlformats.org/officeDocument/2006/docPropsVTypes">
  <Template>Normal</Template>
  <Company>yr</Company>
  <Pages>49</Pages>
  <Words>26902</Words>
  <Characters>27466</Characters>
  <Lines>208</Lines>
  <Paragraphs>58</Paragraphs>
  <TotalTime>1</TotalTime>
  <ScaleCrop>false</ScaleCrop>
  <LinksUpToDate>false</LinksUpToDate>
  <CharactersWithSpaces>28566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2021-11-01T01:07:00Z</dcterms:created>
  <dc:creator>dreamsummit</dc:creator>
  <cp:lastModifiedBy>凌讯网络wps会员</cp:lastModifiedBy>
  <cp:lastPrinted>2020-08-18T08:14:00Z</cp:lastPrinted>
  <dcterms:modified xsi:type="dcterms:W3CDTF">2022-04-08T14:26:07Z</dcterms:modified>
  <dc:title>南京国衡南通分公司 代理 招标及竞谈 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6E4E7893B4984B44835DBC4114DB84D3</vt:lpwstr>
  </property>
</Properties>
</file>